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jc w:val="both"/>
        <w:rPr>
          <w:rFonts w:ascii="Arial" w:hAnsi="Arial" w:cs="Arial"/>
          <w:b/>
          <w:b/>
          <w:sz w:val="24"/>
          <w:szCs w:val="24"/>
        </w:rPr>
      </w:pPr>
      <w:r>
        <w:rPr>
          <w:rFonts w:cs="Arial" w:ascii="Arial" w:hAnsi="Arial"/>
          <w:b/>
          <w:sz w:val="24"/>
          <w:szCs w:val="24"/>
        </w:rPr>
      </w:r>
    </w:p>
    <w:p>
      <w:pPr>
        <w:pStyle w:val="ListParagraph"/>
        <w:numPr>
          <w:ilvl w:val="0"/>
          <w:numId w:val="7"/>
        </w:numPr>
        <w:spacing w:before="0" w:after="0"/>
        <w:rPr>
          <w:rFonts w:ascii="Arial" w:hAnsi="Arial" w:cs="Arial"/>
          <w:b/>
          <w:b/>
          <w:sz w:val="24"/>
          <w:szCs w:val="24"/>
        </w:rPr>
      </w:pPr>
      <w:r>
        <w:rPr>
          <w:rFonts w:cs="Arial" w:ascii="Arial" w:hAnsi="Arial"/>
          <w:b/>
          <w:sz w:val="24"/>
          <w:szCs w:val="24"/>
        </w:rPr>
        <w:t>Información de los profesores y del monitor</w:t>
      </w:r>
    </w:p>
    <w:p>
      <w:pPr>
        <w:pStyle w:val="Normal"/>
        <w:textAlignment w:val="auto"/>
        <w:rPr>
          <w:rFonts w:ascii="Calibri" w:hAnsi="Calibri" w:eastAsia="Calibri" w:cs="Calibri" w:asciiTheme="minorHAnsi" w:cstheme="minorHAnsi" w:hAnsiTheme="minorHAnsi"/>
          <w:sz w:val="24"/>
          <w:szCs w:val="24"/>
          <w:lang w:val="es-CO" w:eastAsia="en-US"/>
        </w:rPr>
      </w:pPr>
      <w:r>
        <w:rPr>
          <w:rFonts w:eastAsia="Calibri" w:cs="Calibri" w:cstheme="minorHAnsi" w:ascii="Calibri" w:hAnsi="Calibri"/>
          <w:sz w:val="24"/>
          <w:szCs w:val="24"/>
          <w:lang w:val="es-CO" w:eastAsia="en-US"/>
        </w:rPr>
      </w:r>
    </w:p>
    <w:p>
      <w:pPr>
        <w:pStyle w:val="Normal"/>
        <w:textAlignment w:val="auto"/>
        <w:rPr/>
      </w:pPr>
      <w:r>
        <w:rPr>
          <w:rFonts w:eastAsia="Calibri" w:cs="Calibri" w:ascii="Calibri" w:hAnsi="Calibri" w:asciiTheme="minorHAnsi" w:cstheme="minorHAnsi" w:hAnsiTheme="minorHAnsi"/>
          <w:sz w:val="24"/>
          <w:szCs w:val="24"/>
          <w:lang w:val="es-CO" w:eastAsia="en-US"/>
        </w:rPr>
        <w:t>Alexander Berenstein</w:t>
      </w:r>
    </w:p>
    <w:p>
      <w:pPr>
        <w:pStyle w:val="Normal"/>
        <w:textAlignment w:val="auto"/>
        <w:rPr/>
      </w:pPr>
      <w:r>
        <w:rPr>
          <w:rFonts w:eastAsia="Calibri" w:cs="Calibri" w:ascii="Calibri" w:hAnsi="Calibri" w:asciiTheme="minorHAnsi" w:cstheme="minorHAnsi" w:hAnsiTheme="minorHAnsi"/>
          <w:sz w:val="24"/>
          <w:szCs w:val="24"/>
          <w:lang w:val="es-CO" w:eastAsia="en-US"/>
        </w:rPr>
        <w:t>Oficina H303</w:t>
      </w:r>
    </w:p>
    <w:p>
      <w:pPr>
        <w:pStyle w:val="Normal"/>
        <w:textAlignment w:val="auto"/>
        <w:rPr/>
      </w:pPr>
      <w:r>
        <w:rPr>
          <w:rFonts w:eastAsia="Calibri" w:cs="Calibri" w:ascii="Calibri" w:hAnsi="Calibri" w:asciiTheme="minorHAnsi" w:cstheme="minorHAnsi" w:hAnsiTheme="minorHAnsi"/>
          <w:sz w:val="24"/>
          <w:szCs w:val="24"/>
          <w:lang w:val="es-CO" w:eastAsia="en-US"/>
        </w:rPr>
        <w:t xml:space="preserve">Correo: </w:t>
      </w:r>
      <w:r>
        <w:rPr>
          <w:rFonts w:eastAsia="Calibri" w:cs="Arial" w:ascii="Arial" w:hAnsi="Arial"/>
          <w:sz w:val="24"/>
          <w:szCs w:val="24"/>
          <w:lang w:val="es-ES" w:eastAsia="en-US"/>
        </w:rPr>
        <w:t>aberenst@uniandes.edu.co</w:t>
      </w:r>
    </w:p>
    <w:p>
      <w:pPr>
        <w:pStyle w:val="Normal"/>
        <w:pBdr>
          <w:bottom w:val="single" w:sz="12" w:space="1" w:color="00000A"/>
        </w:pBdr>
        <w:jc w:val="both"/>
        <w:rPr>
          <w:rFonts w:ascii="Arial" w:hAnsi="Arial" w:cs="Arial"/>
          <w:b/>
          <w:b/>
          <w:sz w:val="24"/>
          <w:szCs w:val="24"/>
          <w:lang w:val="es-CO"/>
        </w:rPr>
      </w:pPr>
      <w:r>
        <w:rPr>
          <w:rFonts w:cs="Arial" w:ascii="Arial" w:hAnsi="Arial"/>
          <w:b/>
          <w:sz w:val="24"/>
          <w:szCs w:val="24"/>
          <w:lang w:val="es-CO"/>
        </w:rPr>
      </w:r>
    </w:p>
    <w:p>
      <w:pPr>
        <w:pStyle w:val="Normal"/>
        <w:rPr>
          <w:rFonts w:ascii="Arial" w:hAnsi="Arial" w:cs="Arial"/>
          <w:sz w:val="24"/>
          <w:szCs w:val="24"/>
          <w:lang w:val="es-CO"/>
        </w:rPr>
      </w:pPr>
      <w:r>
        <w:rPr>
          <w:rFonts w:cs="Arial" w:ascii="Arial" w:hAnsi="Arial"/>
          <w:sz w:val="24"/>
          <w:szCs w:val="24"/>
          <w:lang w:val="es-CO"/>
        </w:rPr>
      </w:r>
    </w:p>
    <w:p>
      <w:pPr>
        <w:pStyle w:val="ListParagraph"/>
        <w:numPr>
          <w:ilvl w:val="0"/>
          <w:numId w:val="5"/>
        </w:numPr>
        <w:spacing w:before="0" w:after="0"/>
        <w:contextualSpacing/>
        <w:rPr>
          <w:rFonts w:ascii="Arial" w:hAnsi="Arial" w:cs="Arial"/>
          <w:b/>
          <w:b/>
          <w:sz w:val="24"/>
          <w:szCs w:val="24"/>
        </w:rPr>
      </w:pPr>
      <w:r>
        <w:rPr>
          <w:rFonts w:cs="Arial" w:ascii="Arial" w:hAnsi="Arial"/>
          <w:b/>
          <w:sz w:val="24"/>
          <w:szCs w:val="24"/>
        </w:rPr>
        <w:t xml:space="preserve">Introducción y descripción general del curso </w:t>
      </w:r>
    </w:p>
    <w:p>
      <w:pPr>
        <w:pStyle w:val="Normal"/>
        <w:jc w:val="both"/>
        <w:textAlignment w:val="auto"/>
        <w:rPr>
          <w:rFonts w:ascii="Calibri" w:hAnsi="Calibri" w:eastAsia="Calibri" w:cs="Calibri" w:asciiTheme="minorHAnsi" w:cstheme="minorHAnsi" w:hAnsiTheme="minorHAnsi"/>
          <w:sz w:val="24"/>
          <w:szCs w:val="24"/>
          <w:lang w:val="es-CO" w:eastAsia="en-US"/>
        </w:rPr>
      </w:pPr>
      <w:r>
        <w:rPr>
          <w:rFonts w:eastAsia="Calibri" w:cs="Calibri" w:cstheme="minorHAnsi" w:ascii="Calibri" w:hAnsi="Calibri"/>
          <w:sz w:val="24"/>
          <w:szCs w:val="24"/>
          <w:lang w:val="es-CO" w:eastAsia="en-US"/>
        </w:rPr>
      </w:r>
    </w:p>
    <w:p>
      <w:pPr>
        <w:pStyle w:val="Normal"/>
        <w:jc w:val="both"/>
        <w:textAlignment w:val="auto"/>
        <w:rPr>
          <w:rFonts w:ascii="Calibri" w:hAnsi="Calibri" w:eastAsia="Calibri" w:cs="Calibri" w:asciiTheme="minorHAnsi" w:cstheme="minorHAnsi" w:hAnsiTheme="minorHAnsi"/>
          <w:sz w:val="24"/>
          <w:szCs w:val="24"/>
          <w:lang w:val="es-CO" w:eastAsia="en-US"/>
        </w:rPr>
      </w:pPr>
      <w:r>
        <w:rPr>
          <w:rFonts w:eastAsia="Calibri" w:cs="Calibri" w:ascii="Calibri" w:hAnsi="Calibri" w:asciiTheme="minorHAnsi" w:cstheme="minorHAnsi" w:hAnsiTheme="minorHAnsi"/>
          <w:sz w:val="24"/>
          <w:szCs w:val="24"/>
          <w:lang w:val="es-CO" w:eastAsia="en-US"/>
        </w:rPr>
        <w:t>Se comienza con las ecuaciones de planos, rectas, superficies cilíndricas y superficies cuádricas en 3D. A partir del concepto de vector se definen campos escalares, campos vectoriales y en general funciones vectoriales. Se tratan los principales temas del cálculo infinitesimal en varias variables como son límites, derivadas e integrales. Todo el curso está orientado para estudiar los teoremas fundamentales del cálculo vectorial: El teorema de Green, el teorema fundamental para integrales de línea, el teorema de Stokes y el teorema de Gauss. Como aplicaciones están: Optimización libre y optimización restringida (multiplicadores de Lagrange), momentos de primer y segundo orden, planos tangentes, campos vectoriales conservativos, potencial escalar, gradiente, rotacional y divergencia.</w:t>
      </w:r>
    </w:p>
    <w:p>
      <w:pPr>
        <w:pStyle w:val="Normal"/>
        <w:jc w:val="both"/>
        <w:rPr>
          <w:rFonts w:ascii="Arial" w:hAnsi="Arial" w:cs="Arial"/>
          <w:sz w:val="24"/>
          <w:szCs w:val="24"/>
          <w:lang w:val="es-CO"/>
        </w:rPr>
      </w:pPr>
      <w:r>
        <w:rPr>
          <w:rFonts w:cs="Arial" w:ascii="Arial" w:hAnsi="Arial"/>
          <w:sz w:val="24"/>
          <w:szCs w:val="24"/>
          <w:lang w:val="es-CO"/>
        </w:rPr>
      </w:r>
    </w:p>
    <w:p>
      <w:pPr>
        <w:pStyle w:val="ListParagraph"/>
        <w:numPr>
          <w:ilvl w:val="0"/>
          <w:numId w:val="6"/>
        </w:numPr>
        <w:spacing w:before="0" w:after="0"/>
        <w:jc w:val="both"/>
        <w:rPr>
          <w:rFonts w:ascii="Arial" w:hAnsi="Arial" w:cs="Arial"/>
          <w:b/>
          <w:b/>
          <w:sz w:val="24"/>
          <w:szCs w:val="24"/>
        </w:rPr>
      </w:pPr>
      <w:r>
        <w:rPr>
          <w:rFonts w:cs="Arial" w:ascii="Arial" w:hAnsi="Arial"/>
          <w:b/>
          <w:sz w:val="24"/>
          <w:szCs w:val="24"/>
        </w:rPr>
        <w:t>Objetivos de la asignatura</w:t>
      </w:r>
    </w:p>
    <w:p>
      <w:pPr>
        <w:pStyle w:val="Normal"/>
        <w:widowControl w:val="false"/>
        <w:spacing w:before="0" w:after="0"/>
        <w:contextualSpacing/>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spacing w:before="0" w:after="20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 xml:space="preserve">Manipular las generalizaciones a varias variables de los conceptos y las herramientas del Cálculo Diferencial: límites, derivadas parciales, derivadas totales y representaciones gráficas de funciones.  </w:t>
      </w:r>
    </w:p>
    <w:p>
      <w:pPr>
        <w:pStyle w:val="ListParagraph"/>
        <w:widowControl w:val="false"/>
        <w:spacing w:before="0" w:after="200"/>
        <w:ind w:left="360" w:hanging="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Manipular las generalizaciones a varias variables de los conceptos y las herramientas del Cálculo Integral: integrales dobles, triples, de línea y de superficie.</w:t>
      </w:r>
    </w:p>
    <w:p>
      <w:pPr>
        <w:pStyle w:val="Normal"/>
        <w:widowControl w:val="false"/>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 xml:space="preserve">Calcular campos gradientes, y calcular rotacionales y divergencias de campos vectoriales. </w:t>
      </w:r>
    </w:p>
    <w:p>
      <w:pPr>
        <w:pStyle w:val="Normal"/>
        <w:widowControl w:val="false"/>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ListParagraph"/>
        <w:widowControl w:val="false"/>
        <w:numPr>
          <w:ilvl w:val="0"/>
          <w:numId w:val="13"/>
        </w:numPr>
        <w:overflowPunct w:val="false"/>
        <w:spacing w:lineRule="auto" w:line="240" w:before="0" w:after="0"/>
        <w:contextualSpacing/>
        <w:jc w:val="both"/>
        <w:rPr>
          <w:rFonts w:ascii="Calibri" w:hAnsi="Calibri" w:cs="Calibri" w:asciiTheme="minorHAnsi" w:cstheme="minorHAnsi" w:hAnsiTheme="minorHAnsi"/>
          <w:sz w:val="24"/>
          <w:szCs w:val="24"/>
          <w:lang w:val="en-US"/>
        </w:rPr>
      </w:pPr>
      <w:r>
        <w:rPr>
          <w:rFonts w:cs="Calibri" w:cstheme="minorHAnsi"/>
          <w:sz w:val="24"/>
          <w:szCs w:val="24"/>
          <w:lang w:val="en-US"/>
        </w:rPr>
        <w:t>Utilizar los conceptos del cálculo en varias variables para modelar e interpretar problemas de optimización global y restringida.</w:t>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Contenido de la asignatura</w:t>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 xml:space="preserve">El siguiente plan semanal indica aproximadamente el material que será cubierto en cada semana y las fechas de los parciales. El profesor principal de cada sección establece las </w:t>
      </w:r>
      <w:r>
        <w:rPr>
          <w:rFonts w:cs="Calibri" w:ascii="Calibri" w:hAnsi="Calibri" w:asciiTheme="minorHAnsi" w:cstheme="minorHAnsi" w:hAnsiTheme="minorHAnsi"/>
          <w:b/>
          <w:sz w:val="24"/>
          <w:szCs w:val="24"/>
          <w:lang w:val="es-CO" w:eastAsia="en-US"/>
        </w:rPr>
        <w:t>fechas exactas de los exámenes en la primera semana de clases</w:t>
      </w:r>
      <w:r>
        <w:rPr>
          <w:rFonts w:cs="Calibri" w:ascii="Calibri" w:hAnsi="Calibri" w:asciiTheme="minorHAnsi" w:cstheme="minorHAnsi" w:hAnsiTheme="minorHAnsi"/>
          <w:sz w:val="24"/>
          <w:szCs w:val="24"/>
          <w:lang w:val="es-CO" w:eastAsia="en-US"/>
        </w:rPr>
        <w:t xml:space="preserve">.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Los problemas listados a continuación son un punto de partida para el estudio, de ninguna manera un conjunto suficiente de ejercicios para dominar el tema o enfrentar las evaluaciones. Los números se refieren al libro guía. Los profesores podrán asignar más ejercicios y el estudiante debe apoyarse en el texto y otros recursos ofrecidos por la universidad para lograr sus objetivos de aprendizaje.</w:t>
      </w:r>
    </w:p>
    <w:p>
      <w:pPr>
        <w:pStyle w:val="Normal"/>
        <w:rPr>
          <w:rFonts w:ascii="Arial" w:hAnsi="Arial" w:cs="Arial"/>
          <w:sz w:val="24"/>
          <w:szCs w:val="24"/>
          <w:lang w:val="es-CO"/>
        </w:rPr>
      </w:pPr>
      <w:r>
        <w:rPr>
          <w:rFonts w:cs="Arial" w:ascii="Arial" w:hAnsi="Arial"/>
          <w:sz w:val="24"/>
          <w:szCs w:val="24"/>
          <w:lang w:val="es-CO"/>
        </w:rPr>
      </w:r>
    </w:p>
    <w:tbl>
      <w:tblPr>
        <w:tblW w:w="10176" w:type="dxa"/>
        <w:jc w:val="left"/>
        <w:tblInd w:w="-1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50" w:type="dxa"/>
          <w:bottom w:w="0" w:type="dxa"/>
          <w:right w:w="70" w:type="dxa"/>
        </w:tblCellMar>
        <w:tblLook w:val="04a0" w:noVBand="1" w:noHBand="0" w:lastColumn="0" w:firstColumn="1" w:lastRow="0" w:firstRow="1"/>
      </w:tblPr>
      <w:tblGrid>
        <w:gridCol w:w="858"/>
        <w:gridCol w:w="1207"/>
        <w:gridCol w:w="1610"/>
        <w:gridCol w:w="4162"/>
        <w:gridCol w:w="2339"/>
      </w:tblGrid>
      <w:tr>
        <w:trPr>
          <w:trHeight w:val="521" w:hRule="atLeast"/>
        </w:trPr>
        <w:tc>
          <w:tcPr>
            <w:tcW w:w="8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Semana</w:t>
              <w:br/>
              <w:t>No.</w:t>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Mes</w:t>
            </w:r>
          </w:p>
        </w:tc>
        <w:tc>
          <w:tcPr>
            <w:tcW w:w="16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Fecha</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Teoría</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Problemas</w:t>
            </w:r>
          </w:p>
        </w:tc>
      </w:tr>
      <w:tr>
        <w:trPr>
          <w:trHeight w:val="528" w:hRule="atLeast"/>
        </w:trPr>
        <w:tc>
          <w:tcPr>
            <w:tcW w:w="858"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w:t>
            </w:r>
          </w:p>
        </w:tc>
        <w:tc>
          <w:tcPr>
            <w:tcW w:w="1207"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Enero</w:t>
            </w:r>
          </w:p>
        </w:tc>
        <w:tc>
          <w:tcPr>
            <w:tcW w:w="1610" w:type="dxa"/>
            <w:vMerge w:val="restart"/>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lang w:val="es-CO" w:eastAsia="es-CO"/>
              </w:rPr>
            </w:pPr>
            <w:r>
              <w:rPr>
                <w:rFonts w:cs="Arial" w:ascii="Trebuchet MS" w:hAnsi="Trebuchet MS"/>
                <w:lang w:val="es-CO" w:eastAsia="es-CO"/>
              </w:rPr>
              <w:t>20.01-24.01</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Arial" w:ascii="Trebuchet MS" w:hAnsi="Trebuchet MS"/>
                <w:b/>
                <w:bCs/>
                <w:lang w:val="es-CO" w:eastAsia="es-CO"/>
              </w:rPr>
              <w:t>1.1-1.3:</w:t>
            </w:r>
            <w:r>
              <w:rPr>
                <w:rFonts w:cs="Arial" w:ascii="Trebuchet MS" w:hAnsi="Trebuchet MS"/>
                <w:lang w:val="es-CO" w:eastAsia="es-CO"/>
              </w:rPr>
              <w:t xml:space="preserve"> </w:t>
            </w:r>
            <w:r>
              <w:rPr>
                <w:rFonts w:cs="Calibri" w:ascii="Calibri" w:hAnsi="Calibri" w:asciiTheme="minorHAnsi" w:cstheme="minorHAnsi" w:hAnsiTheme="minorHAnsi"/>
                <w:color w:val="000000"/>
                <w:sz w:val="24"/>
                <w:szCs w:val="24"/>
                <w:lang w:val="es-CO" w:eastAsia="en-US"/>
              </w:rPr>
              <w:t>Repaso de álgebra lineal: Producto punto y producto cruz</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1.1</w:t>
            </w:r>
            <w:r>
              <w:rPr>
                <w:rFonts w:cs="Calibri" w:ascii="Calibri" w:hAnsi="Calibri" w:asciiTheme="minorHAnsi" w:cstheme="minorHAnsi" w:hAnsiTheme="minorHAnsi"/>
                <w:color w:val="000000"/>
                <w:sz w:val="24"/>
                <w:szCs w:val="24"/>
                <w:lang w:val="es-CO" w:eastAsia="en-US"/>
              </w:rPr>
              <w:t xml:space="preserve">: 7, 13, 17, 19, 27; </w:t>
            </w:r>
            <w:r>
              <w:rPr>
                <w:rFonts w:cs="Calibri" w:ascii="Calibri" w:hAnsi="Calibri" w:asciiTheme="minorHAnsi" w:cstheme="minorHAnsi" w:hAnsiTheme="minorHAnsi"/>
                <w:b/>
                <w:bCs/>
                <w:color w:val="000000"/>
                <w:sz w:val="24"/>
                <w:szCs w:val="24"/>
                <w:lang w:val="es-CO" w:eastAsia="en-US"/>
              </w:rPr>
              <w:t>1.2</w:t>
            </w:r>
            <w:r>
              <w:rPr>
                <w:rFonts w:cs="Calibri" w:ascii="Calibri" w:hAnsi="Calibri" w:asciiTheme="minorHAnsi" w:cstheme="minorHAnsi" w:hAnsiTheme="minorHAnsi"/>
                <w:color w:val="000000"/>
                <w:sz w:val="24"/>
                <w:szCs w:val="24"/>
                <w:lang w:val="es-CO" w:eastAsia="en-US"/>
              </w:rPr>
              <w:t>: 9, 15, 21;</w:t>
            </w:r>
          </w:p>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1.3</w:t>
            </w:r>
            <w:r>
              <w:rPr>
                <w:rFonts w:cs="Calibri" w:ascii="Calibri" w:hAnsi="Calibri" w:asciiTheme="minorHAnsi" w:cstheme="minorHAnsi" w:hAnsiTheme="minorHAnsi"/>
                <w:color w:val="000000"/>
                <w:sz w:val="24"/>
                <w:szCs w:val="24"/>
                <w:lang w:val="es-CO" w:eastAsia="en-US"/>
              </w:rPr>
              <w:t>: 4, 7, 11, 21, 22, 29.</w:t>
            </w:r>
          </w:p>
        </w:tc>
      </w:tr>
      <w:tr>
        <w:trPr>
          <w:trHeight w:val="528" w:hRule="atLeast"/>
        </w:trPr>
        <w:tc>
          <w:tcPr>
            <w:tcW w:w="858"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vAlign w:val="center"/>
          </w:tcPr>
          <w:p>
            <w:pPr>
              <w:pStyle w:val="Normal"/>
              <w:overflowPunct w:val="true"/>
              <w:textAlignment w:val="auto"/>
              <w:rPr>
                <w:rFonts w:ascii="Trebuchet MS" w:hAnsi="Trebuchet MS" w:cs="Arial"/>
                <w:b/>
                <w:b/>
                <w:bCs/>
                <w:lang w:val="es-CO" w:eastAsia="es-CO"/>
              </w:rPr>
            </w:pPr>
            <w:r>
              <w:rPr>
                <w:rFonts w:cs="Arial" w:ascii="Trebuchet MS" w:hAnsi="Trebuchet MS"/>
                <w:b/>
                <w:bCs/>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b/>
                <w:bCs/>
                <w:lang w:val="es-CO" w:eastAsia="es-CO"/>
              </w:rPr>
              <w:t>1.4-1.5:</w:t>
            </w:r>
            <w:r>
              <w:rPr>
                <w:rFonts w:cs="Calibri" w:ascii="Calibri" w:hAnsi="Calibri" w:asciiTheme="minorHAnsi" w:cstheme="minorHAnsi" w:hAnsiTheme="minorHAnsi"/>
                <w:color w:val="000000"/>
                <w:sz w:val="24"/>
                <w:szCs w:val="24"/>
                <w:lang w:val="es-CO" w:eastAsia="en-US"/>
              </w:rPr>
              <w:t xml:space="preserve"> Coordenadas cilíndricas y esféricas.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1.4</w:t>
            </w:r>
            <w:r>
              <w:rPr>
                <w:rFonts w:cs="Calibri" w:ascii="Calibri" w:hAnsi="Calibri" w:asciiTheme="minorHAnsi" w:cstheme="minorHAnsi" w:hAnsiTheme="minorHAnsi"/>
                <w:color w:val="000000"/>
                <w:sz w:val="24"/>
                <w:szCs w:val="24"/>
                <w:lang w:val="es-CO" w:eastAsia="en-US"/>
              </w:rPr>
              <w:t>: 1, 2b, 3b, 4, 7, 9,10,15;</w:t>
              <w:br/>
            </w:r>
            <w:r>
              <w:rPr>
                <w:rFonts w:cs="Calibri" w:ascii="Calibri" w:hAnsi="Calibri" w:asciiTheme="minorHAnsi" w:cstheme="minorHAnsi" w:hAnsiTheme="minorHAnsi"/>
                <w:b/>
                <w:bCs/>
                <w:color w:val="000000"/>
                <w:sz w:val="24"/>
                <w:szCs w:val="24"/>
                <w:lang w:val="es-CO" w:eastAsia="en-US"/>
              </w:rPr>
              <w:t>1.5</w:t>
            </w:r>
            <w:r>
              <w:rPr>
                <w:rFonts w:cs="Calibri" w:ascii="Calibri" w:hAnsi="Calibri" w:asciiTheme="minorHAnsi" w:cstheme="minorHAnsi" w:hAnsiTheme="minorHAnsi"/>
                <w:color w:val="000000"/>
                <w:sz w:val="24"/>
                <w:szCs w:val="24"/>
                <w:lang w:val="es-CO" w:eastAsia="en-US"/>
              </w:rPr>
              <w:t>: 7, 13, 16.</w:t>
            </w:r>
          </w:p>
        </w:tc>
      </w:tr>
      <w:tr>
        <w:trPr>
          <w:trHeight w:val="528"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b/>
                <w:b/>
                <w:bCs/>
                <w:lang w:val="es-CO" w:eastAsia="es-CO"/>
              </w:rPr>
            </w:pPr>
            <w:r>
              <w:rPr>
                <w:rFonts w:cs="Arial" w:ascii="Trebuchet MS" w:hAnsi="Trebuchet MS"/>
                <w:b/>
                <w:bCs/>
                <w:lang w:val="es-CO" w:eastAsia="es-CO"/>
              </w:rPr>
              <w:t>Enero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overflowPunct w:val="true"/>
              <w:jc w:val="center"/>
              <w:rPr>
                <w:rFonts w:ascii="Trebuchet MS" w:hAnsi="Trebuchet MS" w:cs="Arial"/>
                <w:lang w:val="es-CO" w:eastAsia="es-CO"/>
              </w:rPr>
            </w:pPr>
            <w:r>
              <w:rPr>
                <w:rFonts w:cs="Arial" w:ascii="Trebuchet MS" w:hAnsi="Trebuchet MS"/>
                <w:lang w:val="es-CO" w:eastAsia="es-CO"/>
              </w:rPr>
              <w:t>27.01-31.01</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b/>
                <w:bCs/>
                <w:lang w:val="es-CO" w:eastAsia="es-CO"/>
              </w:rPr>
              <w:t xml:space="preserve">2.1: </w:t>
            </w:r>
            <w:r>
              <w:rPr>
                <w:rFonts w:cs="Calibri" w:ascii="Calibri" w:hAnsi="Calibri" w:asciiTheme="minorHAnsi" w:cstheme="minorHAnsi" w:hAnsiTheme="minorHAnsi"/>
                <w:color w:val="000000"/>
                <w:sz w:val="24"/>
                <w:szCs w:val="24"/>
                <w:lang w:val="es-CO" w:eastAsia="en-US"/>
              </w:rPr>
              <w:t>Funciones en varias variables con valores reales.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2.1</w:t>
            </w:r>
            <w:r>
              <w:rPr>
                <w:rFonts w:cs="Calibri" w:ascii="Calibri" w:hAnsi="Calibri" w:asciiTheme="minorHAnsi" w:cstheme="minorHAnsi" w:hAnsiTheme="minorHAnsi"/>
                <w:color w:val="000000"/>
                <w:sz w:val="24"/>
                <w:szCs w:val="24"/>
                <w:lang w:val="es-CO" w:eastAsia="en-US"/>
              </w:rPr>
              <w:t>: 1b, 2c, 3, 7, 9, 10, 15, 17, 23, 25, 32.</w:t>
            </w:r>
          </w:p>
        </w:tc>
      </w:tr>
      <w:tr>
        <w:trPr>
          <w:trHeight w:val="528"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lang w:val="es-CO" w:eastAsia="es-CO"/>
              </w:rPr>
            </w:pPr>
            <w:r>
              <w:rPr>
                <w:rFonts w:cs="Arial" w:ascii="Trebuchet MS" w:hAnsi="Trebuchet MS"/>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2.2: </w:t>
            </w:r>
            <w:r>
              <w:rPr>
                <w:rFonts w:cs="Arial" w:ascii="Calibri" w:hAnsi="Calibri" w:asciiTheme="minorHAnsi" w:hAnsiTheme="minorHAnsi"/>
                <w:sz w:val="24"/>
                <w:szCs w:val="24"/>
                <w:lang w:val="es-CO" w:eastAsia="es-CO"/>
              </w:rPr>
              <w:t>Límites y continuidad.</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2.2</w:t>
            </w:r>
            <w:r>
              <w:rPr>
                <w:rFonts w:cs="Calibri" w:ascii="Calibri" w:hAnsi="Calibri" w:asciiTheme="minorHAnsi" w:cstheme="minorHAnsi" w:hAnsiTheme="minorHAnsi"/>
                <w:color w:val="000000"/>
                <w:sz w:val="24"/>
                <w:szCs w:val="24"/>
                <w:lang w:val="es-CO" w:eastAsia="en-US"/>
              </w:rPr>
              <w:t>: 1b, 1d, 3, 4d, 5d, 6d, 9, 14, 16, 23.</w:t>
            </w:r>
            <w:r>
              <w:rPr>
                <w:rFonts w:cs="Arial" w:ascii="Trebuchet MS" w:hAnsi="Trebuchet MS"/>
                <w:lang w:val="es-CO" w:eastAsia="es-CO"/>
              </w:rPr>
              <w:t> </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3</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Febrero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03.02-07.02</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2.3-2.4: </w:t>
            </w:r>
            <w:r>
              <w:rPr>
                <w:rFonts w:cs="Arial" w:ascii="Calibri" w:hAnsi="Calibri" w:asciiTheme="minorHAnsi" w:hAnsiTheme="minorHAnsi"/>
                <w:sz w:val="24"/>
                <w:szCs w:val="24"/>
                <w:lang w:val="es-CO" w:eastAsia="es-CO"/>
              </w:rPr>
              <w:t>Diferenciación y propiedades de la derivada.</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2.3</w:t>
            </w:r>
            <w:r>
              <w:rPr>
                <w:rFonts w:cs="Calibri" w:ascii="Calibri" w:hAnsi="Calibri" w:asciiTheme="minorHAnsi" w:cstheme="minorHAnsi" w:hAnsiTheme="minorHAnsi"/>
                <w:color w:val="000000"/>
                <w:sz w:val="24"/>
                <w:szCs w:val="24"/>
                <w:lang w:val="es-CO" w:eastAsia="en-US"/>
              </w:rPr>
              <w:t xml:space="preserve">: 1c, 2b, 3e, 4d, 5, 6c, 7b, 9, 13c,15,17; </w:t>
            </w:r>
            <w:r>
              <w:rPr>
                <w:rFonts w:cs="Calibri" w:ascii="Calibri" w:hAnsi="Calibri" w:asciiTheme="minorHAnsi" w:cstheme="minorHAnsi" w:hAnsiTheme="minorHAnsi"/>
                <w:b/>
                <w:bCs/>
                <w:color w:val="000000"/>
                <w:sz w:val="24"/>
                <w:szCs w:val="24"/>
                <w:lang w:val="es-CO" w:eastAsia="en-US"/>
              </w:rPr>
              <w:t>2.4</w:t>
            </w:r>
            <w:r>
              <w:rPr>
                <w:rFonts w:cs="Calibri" w:ascii="Calibri" w:hAnsi="Calibri" w:asciiTheme="minorHAnsi" w:cstheme="minorHAnsi" w:hAnsiTheme="minorHAnsi"/>
                <w:color w:val="000000"/>
                <w:sz w:val="24"/>
                <w:szCs w:val="24"/>
                <w:lang w:val="es-CO" w:eastAsia="en-US"/>
              </w:rPr>
              <w:t>: 4,5b,8,9,12,17,20.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2.5: </w:t>
            </w:r>
            <w:r>
              <w:rPr>
                <w:rFonts w:cs="Arial" w:ascii="Calibri" w:hAnsi="Calibri" w:asciiTheme="minorHAnsi" w:hAnsiTheme="minorHAnsi"/>
                <w:sz w:val="24"/>
                <w:szCs w:val="24"/>
                <w:lang w:val="es-CO" w:eastAsia="es-CO"/>
              </w:rPr>
              <w:t>Gradientes y derivadas direccionales.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2.5</w:t>
            </w:r>
            <w:r>
              <w:rPr>
                <w:rFonts w:cs="Calibri" w:ascii="Calibri" w:hAnsi="Calibri" w:asciiTheme="minorHAnsi" w:cstheme="minorHAnsi" w:hAnsiTheme="minorHAnsi"/>
                <w:color w:val="000000"/>
                <w:sz w:val="24"/>
                <w:szCs w:val="24"/>
                <w:lang w:val="es-CO" w:eastAsia="en-US"/>
              </w:rPr>
              <w:t>: 2d, 3b, 4c, 5c, 6a, 7, 9, 13c, 14b, 15, 16, 19, 21.</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4</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Febrero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10.02-14.02</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2.6: </w:t>
            </w:r>
            <w:r>
              <w:rPr>
                <w:rFonts w:cs="Calibri" w:ascii="Calibri" w:hAnsi="Calibri" w:asciiTheme="minorHAnsi" w:cstheme="minorHAnsi" w:hAnsiTheme="minorHAnsi"/>
                <w:color w:val="000000"/>
                <w:sz w:val="24"/>
                <w:szCs w:val="24"/>
                <w:lang w:val="es-CO" w:eastAsia="en-US"/>
              </w:rPr>
              <w:t>Derivadas parciales iteradas.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2.6</w:t>
            </w:r>
            <w:r>
              <w:rPr>
                <w:rFonts w:cs="Calibri" w:ascii="Calibri" w:hAnsi="Calibri" w:asciiTheme="minorHAnsi" w:cstheme="minorHAnsi" w:hAnsiTheme="minorHAnsi"/>
                <w:color w:val="000000"/>
                <w:sz w:val="24"/>
                <w:szCs w:val="24"/>
                <w:lang w:val="es-CO" w:eastAsia="en-US"/>
              </w:rPr>
              <w:t>: 1b, 2, 8, 15, 17,18.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4.1-4.2: </w:t>
            </w:r>
            <w:r>
              <w:rPr>
                <w:rFonts w:cs="Calibri" w:ascii="Calibri" w:hAnsi="Calibri" w:asciiTheme="minorHAnsi" w:cstheme="minorHAnsi" w:hAnsiTheme="minorHAnsi"/>
                <w:color w:val="000000"/>
                <w:sz w:val="24"/>
                <w:szCs w:val="24"/>
                <w:lang w:val="es-CO" w:eastAsia="en-US"/>
              </w:rPr>
              <w:t>Extremos de funciones con valores reales.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4.1</w:t>
            </w:r>
            <w:r>
              <w:rPr>
                <w:rFonts w:cs="Calibri" w:ascii="Calibri" w:hAnsi="Calibri" w:asciiTheme="minorHAnsi" w:cstheme="minorHAnsi" w:hAnsiTheme="minorHAnsi"/>
                <w:color w:val="000000"/>
                <w:sz w:val="24"/>
                <w:szCs w:val="24"/>
                <w:lang w:val="es-CO" w:eastAsia="en-US"/>
              </w:rPr>
              <w:t>: 2, 4, 5;</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4.2</w:t>
            </w:r>
            <w:r>
              <w:rPr>
                <w:rFonts w:cs="Calibri" w:ascii="Calibri" w:hAnsi="Calibri" w:asciiTheme="minorHAnsi" w:cstheme="minorHAnsi" w:hAnsiTheme="minorHAnsi"/>
                <w:color w:val="000000"/>
                <w:sz w:val="24"/>
                <w:szCs w:val="24"/>
                <w:lang w:val="es-CO" w:eastAsia="en-US"/>
              </w:rPr>
              <w:t>: 1, 3, 5, 7, 9, 15, 20, 22, 23, 29, 32, 40.</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5</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Febrero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17.02-21.02</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4.3: </w:t>
            </w:r>
            <w:r>
              <w:rPr>
                <w:rFonts w:cs="Calibri" w:ascii="Calibri" w:hAnsi="Calibri" w:asciiTheme="minorHAnsi" w:cstheme="minorHAnsi" w:hAnsiTheme="minorHAnsi"/>
                <w:color w:val="000000"/>
                <w:sz w:val="24"/>
                <w:szCs w:val="24"/>
                <w:lang w:val="es-CO" w:eastAsia="en-US"/>
              </w:rPr>
              <w:t>Extremos restringidos y multiplicadores de Lagrange.</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4.3</w:t>
            </w:r>
            <w:r>
              <w:rPr>
                <w:rFonts w:cs="Calibri" w:ascii="Calibri" w:hAnsi="Calibri" w:asciiTheme="minorHAnsi" w:cstheme="minorHAnsi" w:hAnsiTheme="minorHAnsi"/>
                <w:color w:val="000000"/>
                <w:sz w:val="24"/>
                <w:szCs w:val="24"/>
                <w:lang w:val="es-CO" w:eastAsia="en-US"/>
              </w:rPr>
              <w:t>: 2, 4, 7, 9, 11, 13, 17, 18, 19, 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4.4-4.5*: </w:t>
            </w:r>
            <w:r>
              <w:rPr>
                <w:rFonts w:cs="Calibri" w:ascii="Calibri" w:hAnsi="Calibri" w:asciiTheme="minorHAnsi" w:cstheme="minorHAnsi" w:hAnsiTheme="minorHAnsi"/>
                <w:color w:val="000000"/>
                <w:sz w:val="24"/>
                <w:szCs w:val="24"/>
                <w:lang w:val="es-CO" w:eastAsia="en-US"/>
              </w:rPr>
              <w:t>Teorema de la función implícita y algunas aplicaciones.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4.4</w:t>
            </w:r>
            <w:r>
              <w:rPr>
                <w:rFonts w:cs="Calibri" w:ascii="Calibri" w:hAnsi="Calibri" w:asciiTheme="minorHAnsi" w:cstheme="minorHAnsi" w:hAnsiTheme="minorHAnsi"/>
                <w:color w:val="000000"/>
                <w:sz w:val="24"/>
                <w:szCs w:val="24"/>
                <w:lang w:val="es-CO" w:eastAsia="en-US"/>
              </w:rPr>
              <w:t>: 2, 3, 5, 7, 10;</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4.5</w:t>
            </w:r>
            <w:bookmarkStart w:id="0" w:name="_GoBack"/>
            <w:bookmarkEnd w:id="0"/>
            <w:r>
              <w:rPr>
                <w:rFonts w:cs="Calibri" w:ascii="Calibri" w:hAnsi="Calibri" w:asciiTheme="minorHAnsi" w:cstheme="minorHAnsi" w:hAnsiTheme="minorHAnsi"/>
                <w:color w:val="000000"/>
                <w:sz w:val="24"/>
                <w:szCs w:val="24"/>
                <w:lang w:val="es-CO" w:eastAsia="en-US"/>
              </w:rPr>
              <w:t>: 1, 5, 7, 9.</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6</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Febrero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24.02-28.02</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3.1-3.2: </w:t>
            </w:r>
            <w:r>
              <w:rPr>
                <w:rFonts w:cs="Calibri" w:ascii="Calibri" w:hAnsi="Calibri" w:asciiTheme="minorHAnsi" w:cstheme="minorHAnsi" w:hAnsiTheme="minorHAnsi"/>
                <w:color w:val="000000"/>
                <w:sz w:val="24"/>
                <w:szCs w:val="24"/>
                <w:lang w:val="es-CO" w:eastAsia="en-US"/>
              </w:rPr>
              <w:t>Funciones con valores vectoriales: trayectorias, velocidad y longitud de arco.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3.1</w:t>
            </w:r>
            <w:r>
              <w:rPr>
                <w:rFonts w:cs="Calibri" w:ascii="Calibri" w:hAnsi="Calibri" w:asciiTheme="minorHAnsi" w:cstheme="minorHAnsi" w:hAnsiTheme="minorHAnsi"/>
                <w:color w:val="000000"/>
                <w:sz w:val="24"/>
                <w:szCs w:val="24"/>
                <w:lang w:val="es-CO" w:eastAsia="en-US"/>
              </w:rPr>
              <w:t>: 1b, 2c, 5, 7, 8d, 11, 12b, 14;</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3.2</w:t>
            </w:r>
            <w:r>
              <w:rPr>
                <w:rFonts w:cs="Calibri" w:ascii="Calibri" w:hAnsi="Calibri" w:asciiTheme="minorHAnsi" w:cstheme="minorHAnsi" w:hAnsiTheme="minorHAnsi"/>
                <w:color w:val="000000"/>
                <w:sz w:val="24"/>
                <w:szCs w:val="24"/>
                <w:lang w:val="es-CO" w:eastAsia="en-US"/>
              </w:rPr>
              <w:t>: 1b, 1f, 4, 6, 7, 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3.3-3.4:</w:t>
            </w:r>
            <w:r>
              <w:rPr>
                <w:rFonts w:cs="Calibri" w:ascii="Calibri" w:hAnsi="Calibri" w:asciiTheme="minorHAnsi" w:cstheme="minorHAnsi" w:hAnsiTheme="minorHAnsi"/>
                <w:color w:val="000000"/>
                <w:sz w:val="24"/>
                <w:szCs w:val="24"/>
                <w:lang w:val="es-CO" w:eastAsia="en-US"/>
              </w:rPr>
              <w:t xml:space="preserve"> Funciones con valores vectoriales: Campos vectoriales, divergencia y rotacional.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3.3</w:t>
            </w:r>
            <w:r>
              <w:rPr>
                <w:rFonts w:cs="Calibri" w:ascii="Calibri" w:hAnsi="Calibri" w:asciiTheme="minorHAnsi" w:cstheme="minorHAnsi" w:hAnsiTheme="minorHAnsi"/>
                <w:color w:val="000000"/>
                <w:sz w:val="24"/>
                <w:szCs w:val="24"/>
                <w:lang w:val="es-CO" w:eastAsia="en-US"/>
              </w:rPr>
              <w:t>: 2b, 3, 4, 6, 8;</w:t>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color w:val="000000"/>
                <w:sz w:val="24"/>
                <w:szCs w:val="24"/>
                <w:lang w:val="es-CO" w:eastAsia="en-US"/>
              </w:rPr>
              <w:t>3.4</w:t>
            </w:r>
            <w:r>
              <w:rPr>
                <w:rFonts w:cs="Calibri" w:ascii="Calibri" w:hAnsi="Calibri" w:asciiTheme="minorHAnsi" w:cstheme="minorHAnsi" w:hAnsiTheme="minorHAnsi"/>
                <w:color w:val="000000"/>
                <w:sz w:val="24"/>
                <w:szCs w:val="24"/>
                <w:lang w:val="es-CO" w:eastAsia="en-US"/>
              </w:rPr>
              <w:t>: 1b, 1d, 2b, 2d, 5, 6, 9, 14.</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7</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Marzo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02.03-06.03</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3.5</w:t>
            </w:r>
            <w:r>
              <w:rPr>
                <w:rFonts w:cs="Arial" w:ascii="Calibri" w:hAnsi="Calibri" w:asciiTheme="minorHAnsi" w:hAnsiTheme="minorHAnsi"/>
                <w:sz w:val="24"/>
                <w:szCs w:val="24"/>
                <w:lang w:val="es-CO" w:eastAsia="es-CO"/>
              </w:rPr>
              <w:t>*:</w:t>
            </w:r>
            <w:r>
              <w:rPr>
                <w:rFonts w:cs="Calibri" w:ascii="Calibri" w:hAnsi="Calibri" w:asciiTheme="minorHAnsi" w:cstheme="minorHAnsi" w:hAnsiTheme="minorHAnsi"/>
                <w:color w:val="000000"/>
                <w:sz w:val="24"/>
                <w:szCs w:val="24"/>
                <w:lang w:val="es-CO" w:eastAsia="en-US"/>
              </w:rPr>
              <w:t xml:space="preserve"> Algunas identidades del cálculo vectorial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3.5</w:t>
            </w:r>
            <w:r>
              <w:rPr>
                <w:rFonts w:cs="Calibri" w:ascii="Calibri" w:hAnsi="Calibri" w:asciiTheme="minorHAnsi" w:cstheme="minorHAnsi" w:hAnsiTheme="minorHAnsi"/>
                <w:color w:val="000000"/>
                <w:sz w:val="24"/>
                <w:szCs w:val="24"/>
                <w:lang w:val="es-CO" w:eastAsia="en-US"/>
              </w:rPr>
              <w:t>: 3, 5, 7, 8, 11.</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Parcial 1 (30%)</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8</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Marzo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09.03-13.03</w:t>
            </w:r>
          </w:p>
          <w:p>
            <w:pPr>
              <w:pStyle w:val="Normal"/>
              <w:overflowPunct w:val="true"/>
              <w:jc w:val="center"/>
              <w:textAlignment w:val="auto"/>
              <w:rPr>
                <w:rFonts w:ascii="Trebuchet MS" w:hAnsi="Trebuchet MS" w:cs="Arial"/>
                <w:lang w:val="es-CO" w:eastAsia="es-CO"/>
              </w:rPr>
            </w:pPr>
            <w:r>
              <w:rPr>
                <w:rFonts w:cs="Arial" w:ascii="Trebuchet MS" w:hAnsi="Trebuchet MS"/>
                <w:b/>
                <w:i/>
                <w:lang w:val="es-CO" w:eastAsia="es-CO"/>
              </w:rPr>
              <w:t>(vie. 13 mar. último día para entrega 30%)</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5.1-5.2: </w:t>
            </w:r>
            <w:r>
              <w:rPr>
                <w:rFonts w:cs="Calibri" w:ascii="Calibri" w:hAnsi="Calibri" w:asciiTheme="minorHAnsi" w:cstheme="minorHAnsi" w:hAnsiTheme="minorHAnsi"/>
                <w:color w:val="000000"/>
                <w:sz w:val="24"/>
                <w:szCs w:val="24"/>
                <w:lang w:val="es-CO" w:eastAsia="en-US"/>
              </w:rPr>
              <w:t>Integrales dobles sobre rectángulos.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5.1</w:t>
            </w:r>
            <w:r>
              <w:rPr>
                <w:rFonts w:cs="Calibri" w:ascii="Calibri" w:hAnsi="Calibri" w:asciiTheme="minorHAnsi" w:cstheme="minorHAnsi" w:hAnsiTheme="minorHAnsi"/>
                <w:color w:val="000000"/>
                <w:sz w:val="24"/>
                <w:szCs w:val="24"/>
                <w:lang w:val="es-CO" w:eastAsia="en-US"/>
              </w:rPr>
              <w:t>: 1a, 1b, 2, 3, 5, 6, 9;</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5.2</w:t>
            </w:r>
            <w:r>
              <w:rPr>
                <w:rFonts w:cs="Calibri" w:ascii="Calibri" w:hAnsi="Calibri" w:asciiTheme="minorHAnsi" w:cstheme="minorHAnsi" w:hAnsiTheme="minorHAnsi"/>
                <w:color w:val="000000"/>
                <w:sz w:val="24"/>
                <w:szCs w:val="24"/>
                <w:lang w:val="es-CO" w:eastAsia="en-US"/>
              </w:rPr>
              <w:t>: 1c, 1d, 2b, 2c, 4, 6, 7, 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asciiTheme="minorHAnsi" w:hAnsiTheme="minorHAnsi"/>
                <w:b/>
                <w:bCs/>
                <w:sz w:val="24"/>
                <w:szCs w:val="24"/>
                <w:lang w:val="es-CO" w:eastAsia="es-CO"/>
              </w:rPr>
              <w:t xml:space="preserve">5.3-5.4: </w:t>
            </w:r>
            <w:r>
              <w:rPr>
                <w:rFonts w:cs="Calibri" w:ascii="Calibri" w:hAnsi="Calibri" w:asciiTheme="minorHAnsi" w:cstheme="minorHAnsi" w:hAnsiTheme="minorHAnsi"/>
                <w:color w:val="000000"/>
                <w:sz w:val="24"/>
                <w:szCs w:val="24"/>
                <w:lang w:val="es-CO" w:eastAsia="en-US"/>
              </w:rPr>
              <w:t>Integrales dobles sobre regiones generales.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5.3</w:t>
            </w:r>
            <w:r>
              <w:rPr>
                <w:rFonts w:cs="Calibri" w:ascii="Calibri" w:hAnsi="Calibri" w:asciiTheme="minorHAnsi" w:cstheme="minorHAnsi" w:hAnsiTheme="minorHAnsi"/>
                <w:color w:val="000000"/>
                <w:sz w:val="24"/>
                <w:szCs w:val="24"/>
                <w:lang w:val="es-CO" w:eastAsia="en-US"/>
              </w:rPr>
              <w:t>: 1a, 1c, 4, 7, 10, 11, 16;</w:t>
            </w:r>
          </w:p>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5.4</w:t>
            </w:r>
            <w:r>
              <w:rPr>
                <w:rFonts w:cs="Calibri" w:ascii="Calibri" w:hAnsi="Calibri" w:asciiTheme="minorHAnsi" w:cstheme="minorHAnsi" w:hAnsiTheme="minorHAnsi"/>
                <w:color w:val="000000"/>
                <w:sz w:val="24"/>
                <w:szCs w:val="24"/>
                <w:lang w:val="es-CO" w:eastAsia="en-US"/>
              </w:rPr>
              <w:t>: 1b, 1c, 2b, 2c, 5, 7, 10, 13.</w:t>
            </w:r>
          </w:p>
        </w:tc>
      </w:tr>
      <w:tr>
        <w:trPr>
          <w:trHeight w:val="463" w:hRule="atLeast"/>
        </w:trPr>
        <w:tc>
          <w:tcPr>
            <w:tcW w:w="10176"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true"/>
              <w:jc w:val="center"/>
              <w:textAlignment w:val="auto"/>
              <w:rPr>
                <w:rFonts w:ascii="Calibri" w:hAnsi="Calibri" w:cs="Calibri" w:asciiTheme="minorHAnsi" w:cstheme="minorHAnsi" w:hAnsiTheme="minorHAnsi"/>
                <w:b/>
                <w:b/>
                <w:i/>
                <w:i/>
                <w:sz w:val="24"/>
                <w:szCs w:val="24"/>
                <w:lang w:val="es-CO" w:eastAsia="es-CO"/>
              </w:rPr>
            </w:pPr>
            <w:r>
              <w:rPr>
                <w:rFonts w:cs="Calibri" w:ascii="Calibri" w:hAnsi="Calibri" w:asciiTheme="minorHAnsi" w:cstheme="minorHAnsi" w:hAnsiTheme="minorHAnsi"/>
                <w:b/>
                <w:i/>
                <w:sz w:val="24"/>
                <w:szCs w:val="24"/>
                <w:lang w:val="es-CO" w:eastAsia="es-CO"/>
              </w:rPr>
              <w:t>Semana de Receso</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9</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Marzo</w:t>
            </w:r>
          </w:p>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23.03-27.03</w:t>
            </w:r>
          </w:p>
          <w:p>
            <w:pPr>
              <w:pStyle w:val="Normal"/>
              <w:overflowPunct w:val="true"/>
              <w:jc w:val="center"/>
              <w:textAlignment w:val="auto"/>
              <w:rPr>
                <w:rFonts w:ascii="Trebuchet MS" w:hAnsi="Trebuchet MS" w:cs="Arial"/>
                <w:b/>
                <w:b/>
                <w:bCs/>
                <w:lang w:val="es-CO" w:eastAsia="es-CO"/>
              </w:rPr>
            </w:pPr>
            <w:r>
              <w:rPr>
                <w:rFonts w:cs="Arial" w:ascii="Trebuchet MS" w:hAnsi="Trebuchet MS"/>
                <w:b/>
                <w:bCs/>
                <w:lang w:val="es-CO" w:eastAsia="es-CO"/>
              </w:rPr>
              <w:t>(lun. 23 mar. festivo: San José</w:t>
            </w:r>
          </w:p>
          <w:p>
            <w:pPr>
              <w:pStyle w:val="Normal"/>
              <w:overflowPunct w:val="true"/>
              <w:jc w:val="center"/>
              <w:textAlignment w:val="auto"/>
              <w:rPr>
                <w:rFonts w:ascii="Trebuchet MS" w:hAnsi="Trebuchet MS" w:cs="Arial"/>
                <w:lang w:val="es-CO" w:eastAsia="es-CO"/>
              </w:rPr>
            </w:pPr>
            <w:r>
              <w:rPr>
                <w:rFonts w:cs="Arial" w:ascii="Trebuchet MS" w:hAnsi="Trebuchet MS"/>
                <w:b/>
                <w:bCs/>
                <w:lang w:val="es-CO" w:eastAsia="es-CO"/>
              </w:rPr>
              <w:t>(vie. 27 mar. último día de retiros)</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6.1: </w:t>
            </w:r>
            <w:r>
              <w:rPr>
                <w:rFonts w:cs="Calibri" w:ascii="Calibri" w:hAnsi="Calibri" w:asciiTheme="minorHAnsi" w:cstheme="minorHAnsi" w:hAnsiTheme="minorHAnsi"/>
                <w:color w:val="000000"/>
                <w:sz w:val="24"/>
                <w:szCs w:val="24"/>
                <w:lang w:val="es-CO" w:eastAsia="en-US"/>
              </w:rPr>
              <w:t>Integrales triples.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Calibri" w:ascii="Calibri" w:hAnsi="Calibri" w:asciiTheme="minorHAnsi" w:cstheme="minorHAnsi" w:hAnsiTheme="minorHAnsi"/>
                <w:b/>
                <w:bCs/>
                <w:color w:val="000000"/>
                <w:sz w:val="24"/>
                <w:szCs w:val="24"/>
                <w:lang w:val="es-CO" w:eastAsia="en-US"/>
              </w:rPr>
              <w:t>6.1</w:t>
            </w:r>
            <w:r>
              <w:rPr>
                <w:rFonts w:cs="Calibri" w:ascii="Calibri" w:hAnsi="Calibri" w:asciiTheme="minorHAnsi" w:cstheme="minorHAnsi" w:hAnsiTheme="minorHAnsi"/>
                <w:color w:val="000000"/>
                <w:sz w:val="24"/>
                <w:szCs w:val="24"/>
                <w:lang w:val="es-CO" w:eastAsia="en-US"/>
              </w:rPr>
              <w:t>: 1, 4, 7, 11, 12, 14, 16, 18, 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Arial" w:asciiTheme="minorHAnsi" w:hAnsiTheme="minorHAnsi"/>
                <w:sz w:val="24"/>
                <w:szCs w:val="24"/>
                <w:lang w:val="es-CO" w:eastAsia="es-CO"/>
              </w:rPr>
            </w:pPr>
            <w:r>
              <w:rPr>
                <w:rFonts w:cs="Arial" w:ascii="Calibri" w:hAnsi="Calibri" w:asciiTheme="minorHAnsi" w:hAnsiTheme="minorHAnsi"/>
                <w:b/>
                <w:bCs/>
                <w:sz w:val="24"/>
                <w:szCs w:val="24"/>
                <w:lang w:val="es-CO" w:eastAsia="es-CO"/>
              </w:rPr>
              <w:t xml:space="preserve">6.2-6.3: </w:t>
            </w:r>
            <w:r>
              <w:rPr>
                <w:rFonts w:cs="Arial" w:ascii="Calibri" w:hAnsi="Calibri" w:asciiTheme="minorHAnsi" w:hAnsiTheme="minorHAnsi"/>
                <w:sz w:val="24"/>
                <w:szCs w:val="24"/>
                <w:lang w:val="es-CO" w:eastAsia="es-CO"/>
              </w:rPr>
              <w:t>La fórmula del cambio de variables para integrales dobles y triples.</w:t>
            </w:r>
          </w:p>
          <w:p>
            <w:pPr>
              <w:pStyle w:val="Normal"/>
              <w:overflowPunct w:val="true"/>
              <w:textAlignment w:val="auto"/>
              <w:rPr>
                <w:rFonts w:ascii="Calibri" w:hAnsi="Calibri" w:cs="Arial" w:asciiTheme="minorHAnsi" w:hAnsiTheme="minorHAnsi"/>
                <w:b/>
                <w:b/>
                <w:bCs/>
                <w:sz w:val="24"/>
                <w:szCs w:val="24"/>
                <w:lang w:val="es-CO" w:eastAsia="es-CO"/>
              </w:rPr>
            </w:pPr>
            <w:r>
              <w:rPr>
                <w:rFonts w:cs="Arial" w:ascii="Calibri" w:hAnsi="Calibri"/>
                <w:b/>
                <w:bCs/>
                <w:sz w:val="24"/>
                <w:szCs w:val="24"/>
                <w:lang w:val="es-CO" w:eastAsia="es-CO"/>
              </w:rPr>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6.2</w:t>
            </w:r>
            <w:r>
              <w:rPr>
                <w:rFonts w:cs="Calibri" w:ascii="Calibri" w:hAnsi="Calibri" w:asciiTheme="minorHAnsi" w:cstheme="minorHAnsi" w:hAnsiTheme="minorHAnsi"/>
                <w:color w:val="000000"/>
                <w:sz w:val="24"/>
                <w:szCs w:val="24"/>
                <w:lang w:val="es-CO" w:eastAsia="en-US"/>
              </w:rPr>
              <w:t>: 1, 2, 4, 7, 10;</w:t>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color w:val="000000"/>
                <w:sz w:val="24"/>
                <w:szCs w:val="24"/>
                <w:lang w:val="es-CO" w:eastAsia="en-US"/>
              </w:rPr>
              <w:t>6.3</w:t>
            </w:r>
            <w:r>
              <w:rPr>
                <w:rFonts w:cs="Calibri" w:ascii="Calibri" w:hAnsi="Calibri" w:asciiTheme="minorHAnsi" w:cstheme="minorHAnsi" w:hAnsiTheme="minorHAnsi"/>
                <w:color w:val="000000"/>
                <w:sz w:val="24"/>
                <w:szCs w:val="24"/>
                <w:lang w:val="es-CO" w:eastAsia="en-US"/>
              </w:rPr>
              <w:t>: 1, 3, 5, 7, 12, 17, 21, 23, 29, 30.</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10</w:t>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Marzo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30.03-03.04</w:t>
            </w:r>
          </w:p>
          <w:p>
            <w:pPr>
              <w:pStyle w:val="Normal"/>
              <w:overflowPunct w:val="true"/>
              <w:textAlignment w:val="auto"/>
              <w:rPr>
                <w:rFonts w:ascii="Trebuchet MS" w:hAnsi="Trebuchet MS" w:cs="Arial"/>
                <w:b/>
                <w:b/>
                <w:lang w:val="es-CO" w:eastAsia="es-CO"/>
              </w:rPr>
            </w:pPr>
            <w:r>
              <w:rPr>
                <w:rFonts w:cs="Arial" w:ascii="Trebuchet MS" w:hAnsi="Trebuchet MS"/>
                <w:b/>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6.4: </w:t>
            </w:r>
            <w:r>
              <w:rPr>
                <w:rFonts w:cs="Calibri" w:ascii="Calibri" w:hAnsi="Calibri" w:asciiTheme="minorHAnsi" w:cstheme="minorHAnsi" w:hAnsiTheme="minorHAnsi"/>
                <w:sz w:val="24"/>
                <w:szCs w:val="24"/>
                <w:lang w:val="es-CO" w:eastAsia="es-CO"/>
              </w:rPr>
              <w:t>Aplicaciones de las integrales dobles y triples.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6.4</w:t>
            </w:r>
            <w:r>
              <w:rPr>
                <w:rFonts w:cs="Calibri" w:ascii="Calibri" w:hAnsi="Calibri" w:asciiTheme="minorHAnsi" w:cstheme="minorHAnsi" w:hAnsiTheme="minorHAnsi"/>
                <w:color w:val="000000"/>
                <w:sz w:val="24"/>
                <w:szCs w:val="24"/>
                <w:lang w:val="es-CO" w:eastAsia="en-US"/>
              </w:rPr>
              <w:t>: 2, 3, 5, 7, 10, 12, 17.</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Abril</w:t>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7.1: </w:t>
            </w:r>
            <w:r>
              <w:rPr>
                <w:rFonts w:cs="Calibri" w:ascii="Calibri" w:hAnsi="Calibri" w:asciiTheme="minorHAnsi" w:cstheme="minorHAnsi" w:hAnsiTheme="minorHAnsi"/>
                <w:sz w:val="24"/>
                <w:szCs w:val="24"/>
                <w:lang w:val="es-CO" w:eastAsia="es-CO"/>
              </w:rPr>
              <w:t>Integrales de funciones escalares sobre trayectorias.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7.1</w:t>
            </w:r>
            <w:r>
              <w:rPr>
                <w:rFonts w:cs="Calibri" w:ascii="Calibri" w:hAnsi="Calibri" w:asciiTheme="minorHAnsi" w:cstheme="minorHAnsi" w:hAnsiTheme="minorHAnsi"/>
                <w:color w:val="000000"/>
                <w:sz w:val="24"/>
                <w:szCs w:val="24"/>
                <w:lang w:val="es-CO" w:eastAsia="en-US"/>
              </w:rPr>
              <w:t>: 2a, 3c, 4, 7, 11, 13.</w:t>
            </w:r>
          </w:p>
        </w:tc>
      </w:tr>
      <w:tr>
        <w:trPr>
          <w:trHeight w:val="484" w:hRule="atLeast"/>
        </w:trPr>
        <w:tc>
          <w:tcPr>
            <w:tcW w:w="10176"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true"/>
              <w:jc w:val="center"/>
              <w:textAlignment w:val="auto"/>
              <w:rPr>
                <w:rFonts w:ascii="Calibri" w:hAnsi="Calibri" w:cs="Calibri" w:asciiTheme="minorHAnsi" w:cstheme="minorHAnsi" w:hAnsiTheme="minorHAnsi"/>
                <w:b/>
                <w:b/>
                <w:bCs/>
                <w:i/>
                <w:i/>
                <w:color w:val="000000"/>
                <w:sz w:val="24"/>
                <w:szCs w:val="24"/>
                <w:lang w:val="es-CO" w:eastAsia="en-US"/>
              </w:rPr>
            </w:pPr>
            <w:r>
              <w:rPr>
                <w:rFonts w:cs="Calibri" w:ascii="Calibri" w:hAnsi="Calibri" w:asciiTheme="minorHAnsi" w:cstheme="minorHAnsi" w:hAnsiTheme="minorHAnsi"/>
                <w:b/>
                <w:bCs/>
                <w:i/>
                <w:color w:val="000000"/>
                <w:sz w:val="24"/>
                <w:szCs w:val="24"/>
                <w:lang w:val="es-CO" w:eastAsia="en-US"/>
              </w:rPr>
              <w:t>Semana Santa</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11</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Abril</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13.04-17.04</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7.2: </w:t>
            </w:r>
            <w:r>
              <w:rPr>
                <w:rFonts w:cs="Calibri" w:ascii="Calibri" w:hAnsi="Calibri" w:asciiTheme="minorHAnsi" w:cstheme="minorHAnsi" w:hAnsiTheme="minorHAnsi"/>
                <w:sz w:val="24"/>
                <w:szCs w:val="24"/>
                <w:lang w:val="es-CO" w:eastAsia="es-CO"/>
              </w:rPr>
              <w:t>Integrales de línea.</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7.2</w:t>
            </w:r>
            <w:r>
              <w:rPr>
                <w:rFonts w:cs="Calibri" w:ascii="Calibri" w:hAnsi="Calibri" w:asciiTheme="minorHAnsi" w:cstheme="minorHAnsi" w:hAnsiTheme="minorHAnsi"/>
                <w:color w:val="000000"/>
                <w:sz w:val="24"/>
                <w:szCs w:val="24"/>
                <w:lang w:val="es-CO" w:eastAsia="en-US"/>
              </w:rPr>
              <w:t>: 1a, 1c, 2a, 2c, 4, 9, 12, 14, 16, 18.</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7.3: </w:t>
            </w:r>
            <w:r>
              <w:rPr>
                <w:rFonts w:cs="Calibri" w:ascii="Calibri" w:hAnsi="Calibri" w:asciiTheme="minorHAnsi" w:cstheme="minorHAnsi" w:hAnsiTheme="minorHAnsi"/>
                <w:sz w:val="24"/>
                <w:szCs w:val="24"/>
                <w:lang w:val="es-CO" w:eastAsia="es-CO"/>
              </w:rPr>
              <w:t>Superficies paramétrizadas.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7.3</w:t>
            </w:r>
            <w:r>
              <w:rPr>
                <w:rFonts w:cs="Calibri" w:ascii="Calibri" w:hAnsi="Calibri" w:asciiTheme="minorHAnsi" w:cstheme="minorHAnsi" w:hAnsiTheme="minorHAnsi"/>
                <w:color w:val="000000"/>
                <w:sz w:val="24"/>
                <w:szCs w:val="24"/>
                <w:lang w:val="es-CO" w:eastAsia="en-US"/>
              </w:rPr>
              <w:t>: 1, 2, 4, 5, 10 c, 11, 12, 14.</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12</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Abril</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20.04-24.04</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7.4: </w:t>
            </w:r>
            <w:r>
              <w:rPr>
                <w:rFonts w:cs="Calibri" w:ascii="Calibri" w:hAnsi="Calibri" w:asciiTheme="minorHAnsi" w:cstheme="minorHAnsi" w:hAnsiTheme="minorHAnsi"/>
                <w:sz w:val="24"/>
                <w:szCs w:val="24"/>
                <w:lang w:val="es-CO" w:eastAsia="es-CO"/>
              </w:rPr>
              <w:t xml:space="preserve"> Área superficial.</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7.4</w:t>
            </w:r>
            <w:r>
              <w:rPr>
                <w:rFonts w:cs="Calibri" w:ascii="Calibri" w:hAnsi="Calibri" w:asciiTheme="minorHAnsi" w:cstheme="minorHAnsi" w:hAnsiTheme="minorHAnsi"/>
                <w:color w:val="000000"/>
                <w:sz w:val="24"/>
                <w:szCs w:val="24"/>
                <w:lang w:val="es-CO" w:eastAsia="en-US"/>
              </w:rPr>
              <w:t>: 1, 2, 4, 7, 9, 12, 17, 20.</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7.5: </w:t>
            </w:r>
            <w:r>
              <w:rPr>
                <w:rFonts w:cs="Calibri" w:ascii="Calibri" w:hAnsi="Calibri" w:asciiTheme="minorHAnsi" w:cstheme="minorHAnsi" w:hAnsiTheme="minorHAnsi"/>
                <w:sz w:val="24"/>
                <w:szCs w:val="24"/>
                <w:lang w:val="es-CO" w:eastAsia="es-CO"/>
              </w:rPr>
              <w:t>Integrales de funciones escalares sobre superficies.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7.5</w:t>
            </w:r>
            <w:r>
              <w:rPr>
                <w:rFonts w:cs="Calibri" w:ascii="Calibri" w:hAnsi="Calibri" w:asciiTheme="minorHAnsi" w:cstheme="minorHAnsi" w:hAnsiTheme="minorHAnsi"/>
                <w:color w:val="000000"/>
                <w:sz w:val="24"/>
                <w:szCs w:val="24"/>
                <w:lang w:val="es-CO" w:eastAsia="en-US"/>
              </w:rPr>
              <w:t>: 1, 2, 3, 8, 11, 14, 17.</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13</w:t>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Abril</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27.04-01.05</w:t>
            </w:r>
          </w:p>
          <w:p>
            <w:pPr>
              <w:pStyle w:val="Normal"/>
              <w:overflowPunct w:val="true"/>
              <w:jc w:val="center"/>
              <w:textAlignment w:val="auto"/>
              <w:rPr>
                <w:rFonts w:ascii="Trebuchet MS" w:hAnsi="Trebuchet MS" w:cs="Arial"/>
                <w:lang w:val="es-CO" w:eastAsia="es-CO"/>
              </w:rPr>
            </w:pPr>
            <w:r>
              <w:rPr>
                <w:rFonts w:cs="Arial" w:ascii="Trebuchet MS" w:hAnsi="Trebuchet MS"/>
                <w:b/>
                <w:bCs/>
                <w:lang w:val="es-CO" w:eastAsia="es-CO"/>
              </w:rPr>
              <w:t>(vie. 1 may. festivo: día de los trabajadores</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7.6: </w:t>
            </w:r>
            <w:r>
              <w:rPr>
                <w:rFonts w:cs="Calibri" w:ascii="Calibri" w:hAnsi="Calibri" w:asciiTheme="minorHAnsi" w:cstheme="minorHAnsi" w:hAnsiTheme="minorHAnsi"/>
                <w:sz w:val="24"/>
                <w:szCs w:val="24"/>
                <w:lang w:val="es-CO" w:eastAsia="es-CO"/>
              </w:rPr>
              <w:t>Integrales de campos vectoriales sobre superficies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7.6</w:t>
            </w:r>
            <w:r>
              <w:rPr>
                <w:rFonts w:cs="Calibri" w:ascii="Calibri" w:hAnsi="Calibri" w:asciiTheme="minorHAnsi" w:cstheme="minorHAnsi" w:hAnsiTheme="minorHAnsi"/>
                <w:color w:val="000000"/>
                <w:sz w:val="24"/>
                <w:szCs w:val="24"/>
                <w:lang w:val="es-CO" w:eastAsia="en-US"/>
              </w:rPr>
              <w:t>: 2, 3, 5, 7, 8, 11, 13, 16, 17.</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Mayo</w:t>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Repaso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14</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rPr>
                <w:rFonts w:ascii="Trebuchet MS" w:hAnsi="Trebuchet MS" w:cs="Arial"/>
                <w:b/>
                <w:b/>
                <w:lang w:val="es-CO" w:eastAsia="es-CO"/>
              </w:rPr>
            </w:pPr>
            <w:r>
              <w:rPr>
                <w:rFonts w:cs="Arial" w:ascii="Trebuchet MS" w:hAnsi="Trebuchet MS"/>
                <w:b/>
                <w:lang w:val="es-CO" w:eastAsia="es-CO"/>
              </w:rPr>
              <w:t>Mayo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bCs/>
                <w:lang w:val="es-CO" w:eastAsia="es-CO"/>
              </w:rPr>
            </w:pPr>
            <w:r>
              <w:rPr>
                <w:rFonts w:cs="Arial" w:ascii="Trebuchet MS" w:hAnsi="Trebuchet MS"/>
                <w:lang w:val="es-CO" w:eastAsia="es-CO"/>
              </w:rPr>
              <w:t>04.05-08.05</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Parcial 2 (30%)</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8.1: </w:t>
            </w:r>
            <w:r>
              <w:rPr>
                <w:rFonts w:cs="Calibri" w:ascii="Calibri" w:hAnsi="Calibri" w:asciiTheme="minorHAnsi" w:cstheme="minorHAnsi" w:hAnsiTheme="minorHAnsi"/>
                <w:sz w:val="24"/>
                <w:szCs w:val="24"/>
                <w:lang w:val="es-CO" w:eastAsia="es-CO"/>
              </w:rPr>
              <w:t>Teorema de Green</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b/>
                <w:bCs/>
                <w:iCs/>
                <w:color w:val="000000"/>
                <w:sz w:val="24"/>
                <w:szCs w:val="24"/>
                <w:lang w:val="es-CO" w:eastAsia="en-US"/>
              </w:rPr>
              <w:t>8.1</w:t>
            </w:r>
            <w:r>
              <w:rPr>
                <w:rFonts w:cs="Calibri" w:ascii="Calibri" w:hAnsi="Calibri" w:asciiTheme="minorHAnsi" w:cstheme="minorHAnsi" w:hAnsiTheme="minorHAnsi"/>
                <w:color w:val="000000"/>
                <w:sz w:val="24"/>
                <w:szCs w:val="24"/>
                <w:lang w:val="es-CO" w:eastAsia="en-US"/>
              </w:rPr>
              <w:t>: 1, 3a, 3c, 4, 5, 11, 12, 15, 19.</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15</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Mayo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11.05-15.05</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 xml:space="preserve">8.2: </w:t>
            </w:r>
            <w:r>
              <w:rPr>
                <w:rFonts w:cs="Calibri" w:ascii="Calibri" w:hAnsi="Calibri" w:asciiTheme="minorHAnsi" w:cstheme="minorHAnsi" w:hAnsiTheme="minorHAnsi"/>
                <w:sz w:val="24"/>
                <w:szCs w:val="24"/>
                <w:lang w:val="es-CO" w:eastAsia="es-CO"/>
              </w:rPr>
              <w:t>Teorema de Stokes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8.2</w:t>
            </w:r>
            <w:r>
              <w:rPr>
                <w:rFonts w:cs="Calibri" w:ascii="Calibri" w:hAnsi="Calibri" w:asciiTheme="minorHAnsi" w:cstheme="minorHAnsi" w:hAnsiTheme="minorHAnsi"/>
                <w:color w:val="000000"/>
                <w:sz w:val="24"/>
                <w:szCs w:val="24"/>
                <w:lang w:val="es-CO" w:eastAsia="en-US"/>
              </w:rPr>
              <w:t>: 1, 3, 4, 5, 7, 8, 11, 14, 17, 21, 23, 25.</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b/>
                <w:b/>
                <w:sz w:val="24"/>
                <w:szCs w:val="24"/>
                <w:lang w:val="es-CO" w:eastAsia="es-CO"/>
              </w:rPr>
            </w:pPr>
            <w:r>
              <w:rPr>
                <w:rFonts w:cs="Calibri" w:ascii="Calibri" w:hAnsi="Calibri" w:asciiTheme="minorHAnsi" w:cstheme="minorHAnsi" w:hAnsiTheme="minorHAnsi"/>
                <w:b/>
                <w:sz w:val="24"/>
                <w:szCs w:val="24"/>
                <w:lang w:val="es-CO" w:eastAsia="es-CO"/>
              </w:rPr>
              <w:t xml:space="preserve">8.3: </w:t>
            </w:r>
            <w:r>
              <w:rPr>
                <w:rFonts w:cs="Calibri" w:ascii="Calibri" w:hAnsi="Calibri" w:asciiTheme="minorHAnsi" w:cstheme="minorHAnsi" w:hAnsiTheme="minorHAnsi"/>
                <w:sz w:val="24"/>
                <w:szCs w:val="24"/>
                <w:lang w:val="es-CO" w:eastAsia="es-CO"/>
              </w:rPr>
              <w:t>Campos conservativos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8.3</w:t>
            </w:r>
            <w:r>
              <w:rPr>
                <w:rFonts w:cs="Calibri" w:ascii="Calibri" w:hAnsi="Calibri" w:asciiTheme="minorHAnsi" w:cstheme="minorHAnsi" w:hAnsiTheme="minorHAnsi"/>
                <w:color w:val="000000"/>
                <w:sz w:val="24"/>
                <w:szCs w:val="24"/>
                <w:lang w:val="es-CO" w:eastAsia="en-US"/>
              </w:rPr>
              <w:t>: 2, 3, 4, 7, 9, 11, 12, 13, 17, 20, 23, 25.</w:t>
            </w:r>
          </w:p>
        </w:tc>
      </w:tr>
      <w:tr>
        <w:trPr>
          <w:trHeight w:val="484" w:hRule="atLeast"/>
        </w:trPr>
        <w:tc>
          <w:tcPr>
            <w:tcW w:w="858"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t>16</w:t>
            </w:r>
          </w:p>
        </w:tc>
        <w:tc>
          <w:tcPr>
            <w:tcW w:w="1207"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t>Mayo</w:t>
            </w:r>
          </w:p>
        </w:tc>
        <w:tc>
          <w:tcPr>
            <w:tcW w:w="1610"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lang w:val="es-CO" w:eastAsia="es-CO"/>
              </w:rPr>
            </w:pPr>
            <w:r>
              <w:rPr>
                <w:rFonts w:cs="Arial" w:ascii="Trebuchet MS" w:hAnsi="Trebuchet MS"/>
                <w:lang w:val="es-CO" w:eastAsia="es-CO"/>
              </w:rPr>
              <w:t>18.05-22.05</w:t>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 xml:space="preserve">8.4: </w:t>
            </w:r>
            <w:r>
              <w:rPr>
                <w:rFonts w:cs="Calibri" w:ascii="Calibri" w:hAnsi="Calibri" w:asciiTheme="minorHAnsi" w:cstheme="minorHAnsi" w:hAnsiTheme="minorHAnsi"/>
                <w:sz w:val="24"/>
                <w:szCs w:val="24"/>
                <w:lang w:val="es-CO" w:eastAsia="es-CO"/>
              </w:rPr>
              <w:t xml:space="preserve"> Teorema de Gauss</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bCs/>
                <w:iCs/>
                <w:color w:val="000000"/>
                <w:sz w:val="24"/>
                <w:szCs w:val="24"/>
                <w:lang w:val="es-CO" w:eastAsia="en-US"/>
              </w:rPr>
              <w:t>8.4</w:t>
            </w:r>
            <w:r>
              <w:rPr>
                <w:rFonts w:cs="Calibri" w:ascii="Calibri" w:hAnsi="Calibri" w:asciiTheme="minorHAnsi" w:cstheme="minorHAnsi" w:hAnsiTheme="minorHAnsi"/>
                <w:color w:val="000000"/>
                <w:sz w:val="24"/>
                <w:szCs w:val="24"/>
                <w:lang w:val="es-CO" w:eastAsia="en-US"/>
              </w:rPr>
              <w:t>: 1, 3, 6, 7, 10, 12, 13, 18, 21.</w:t>
            </w:r>
          </w:p>
        </w:tc>
      </w:tr>
      <w:tr>
        <w:trPr>
          <w:trHeight w:val="484" w:hRule="atLeast"/>
        </w:trPr>
        <w:tc>
          <w:tcPr>
            <w:tcW w:w="858"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1207"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jc w:val="center"/>
              <w:textAlignment w:val="auto"/>
              <w:rPr>
                <w:rFonts w:ascii="Trebuchet MS" w:hAnsi="Trebuchet MS" w:cs="Arial"/>
                <w:b/>
                <w:b/>
                <w:lang w:val="es-CO" w:eastAsia="es-CO"/>
              </w:rPr>
            </w:pPr>
            <w:r>
              <w:rPr>
                <w:rFonts w:cs="Arial" w:ascii="Trebuchet MS" w:hAnsi="Trebuchet MS"/>
                <w:b/>
                <w:lang w:val="es-CO" w:eastAsia="es-CO"/>
              </w:rPr>
            </w:r>
          </w:p>
        </w:tc>
        <w:tc>
          <w:tcPr>
            <w:tcW w:w="1610"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Trebuchet MS" w:hAnsi="Trebuchet MS" w:cs="Arial"/>
                <w:lang w:val="es-CO" w:eastAsia="es-CO"/>
              </w:rPr>
            </w:pPr>
            <w:r>
              <w:rPr>
                <w:rFonts w:cs="Arial" w:ascii="Trebuchet MS" w:hAnsi="Trebuchet MS"/>
                <w:lang w:val="es-CO" w:eastAsia="es-CO"/>
              </w:rPr>
            </w:r>
          </w:p>
        </w:tc>
        <w:tc>
          <w:tcPr>
            <w:tcW w:w="416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ascii="Calibri" w:hAnsi="Calibri" w:asciiTheme="minorHAnsi" w:cstheme="minorHAnsi" w:hAnsiTheme="minorHAnsi"/>
                <w:b/>
                <w:sz w:val="24"/>
                <w:szCs w:val="24"/>
                <w:lang w:val="es-CO" w:eastAsia="es-CO"/>
              </w:rPr>
              <w:t>Repaso</w:t>
            </w:r>
          </w:p>
        </w:tc>
        <w:tc>
          <w:tcPr>
            <w:tcW w:w="233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65" w:type="dxa"/>
            </w:tcMar>
            <w:vAlign w:val="center"/>
          </w:tcPr>
          <w:p>
            <w:pPr>
              <w:pStyle w:val="Normal"/>
              <w:overflowPunct w:val="true"/>
              <w:textAlignment w:val="auto"/>
              <w:rPr>
                <w:rFonts w:ascii="Calibri" w:hAnsi="Calibri" w:cs="Calibri" w:asciiTheme="minorHAnsi" w:cstheme="minorHAnsi" w:hAnsiTheme="minorHAnsi"/>
                <w:sz w:val="24"/>
                <w:szCs w:val="24"/>
                <w:lang w:val="es-CO" w:eastAsia="es-CO"/>
              </w:rPr>
            </w:pPr>
            <w:r>
              <w:rPr>
                <w:rFonts w:cs="Calibri" w:cstheme="minorHAnsi" w:ascii="Calibri" w:hAnsi="Calibri"/>
                <w:sz w:val="24"/>
                <w:szCs w:val="24"/>
                <w:lang w:val="es-CO" w:eastAsia="es-CO"/>
              </w:rPr>
            </w:r>
          </w:p>
        </w:tc>
      </w:tr>
      <w:tr>
        <w:trPr>
          <w:trHeight w:val="266" w:hRule="atLeast"/>
        </w:trPr>
        <w:tc>
          <w:tcPr>
            <w:tcW w:w="10176" w:type="dxa"/>
            <w:gridSpan w:val="5"/>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true"/>
              <w:jc w:val="center"/>
              <w:textAlignment w:val="auto"/>
              <w:rPr>
                <w:rFonts w:ascii="Trebuchet MS" w:hAnsi="Trebuchet MS" w:cs="Arial"/>
                <w:b/>
                <w:b/>
                <w:i/>
                <w:i/>
                <w:lang w:val="es-CO" w:eastAsia="es-CO"/>
              </w:rPr>
            </w:pPr>
            <w:r>
              <w:rPr>
                <w:rFonts w:cs="Arial" w:ascii="Trebuchet MS" w:hAnsi="Trebuchet MS"/>
                <w:b/>
                <w:i/>
                <w:lang w:val="es-CO" w:eastAsia="es-CO"/>
              </w:rPr>
              <w:t>Exámenes finales</w:t>
            </w:r>
          </w:p>
        </w:tc>
      </w:tr>
    </w:tbl>
    <w:p>
      <w:pPr>
        <w:pStyle w:val="Normal"/>
        <w:tabs>
          <w:tab w:val="left" w:pos="142" w:leader="none"/>
        </w:tabs>
        <w:rPr>
          <w:rFonts w:ascii="Arial" w:hAnsi="Arial" w:cs="Arial"/>
          <w:b/>
          <w:b/>
          <w:sz w:val="24"/>
          <w:szCs w:val="24"/>
          <w:lang w:val="es-MX"/>
        </w:rPr>
      </w:pPr>
      <w:r>
        <w:rPr>
          <w:rFonts w:cs="Arial" w:ascii="Arial" w:hAnsi="Arial"/>
          <w:b/>
          <w:sz w:val="24"/>
          <w:szCs w:val="24"/>
          <w:lang w:val="es-MX"/>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Metodología</w:t>
      </w:r>
    </w:p>
    <w:p>
      <w:pPr>
        <w:pStyle w:val="ListParagraph"/>
        <w:spacing w:before="0" w:after="0"/>
        <w:ind w:left="720" w:hanging="0"/>
        <w:rPr>
          <w:rFonts w:ascii="Arial" w:hAnsi="Arial" w:cs="Arial"/>
          <w:b/>
          <w:b/>
          <w:sz w:val="24"/>
          <w:szCs w:val="24"/>
        </w:rPr>
      </w:pPr>
      <w:r>
        <w:rPr>
          <w:rFonts w:cs="Arial" w:ascii="Arial" w:hAnsi="Arial"/>
          <w:b/>
          <w:sz w:val="24"/>
          <w:szCs w:val="24"/>
        </w:rPr>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ascii="Calibri" w:hAnsi="Calibri" w:asciiTheme="minorHAnsi" w:cstheme="minorHAnsi" w:hAnsiTheme="minorHAnsi"/>
          <w:sz w:val="24"/>
          <w:szCs w:val="24"/>
          <w:lang w:val="es-CO" w:eastAsia="es-CO"/>
        </w:rPr>
        <w:t xml:space="preserve">El curso consiste de dos clases magistrales y dos clases complementarias por semana. En las clases magistrales el profesor expone las bases teóricos de la materia. En las clases complementarias el estudiante se familiariza más con la teoría expuesta en la clase magistral y aprende como aplicarla a problemas y ejercicios. </w:t>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cstheme="minorHAnsi" w:ascii="Calibri" w:hAnsi="Calibri"/>
          <w:sz w:val="24"/>
          <w:szCs w:val="24"/>
          <w:lang w:val="es-CO" w:eastAsia="es-CO"/>
        </w:rPr>
      </w:r>
    </w:p>
    <w:p>
      <w:pPr>
        <w:pStyle w:val="Normal"/>
        <w:textAlignment w:val="auto"/>
        <w:rPr>
          <w:rFonts w:ascii="Calibri" w:hAnsi="Calibri" w:eastAsia="Calibri" w:cs="Calibri" w:asciiTheme="minorHAnsi" w:cstheme="minorHAnsi" w:hAnsiTheme="minorHAnsi"/>
          <w:b/>
          <w:b/>
          <w:i/>
          <w:i/>
          <w:sz w:val="24"/>
          <w:szCs w:val="24"/>
          <w:lang w:val="es-CO" w:eastAsia="es-CO"/>
        </w:rPr>
      </w:pPr>
      <w:r>
        <w:rPr>
          <w:rFonts w:eastAsia="Calibri" w:cs="Calibri" w:ascii="Calibri" w:hAnsi="Calibri" w:asciiTheme="minorHAnsi" w:cstheme="minorHAnsi" w:hAnsiTheme="minorHAnsi"/>
          <w:b/>
          <w:i/>
          <w:sz w:val="24"/>
          <w:szCs w:val="24"/>
          <w:lang w:val="es-CO" w:eastAsia="es-CO"/>
        </w:rPr>
        <w:t xml:space="preserve">No se pueden tomar fotos del tablero o hacer grabaciones sin el permiso expreso del profesor! </w:t>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cstheme="minorHAnsi" w:ascii="Calibri" w:hAnsi="Calibri"/>
          <w:sz w:val="24"/>
          <w:szCs w:val="24"/>
          <w:lang w:val="es-CO" w:eastAsia="es-CO"/>
        </w:rPr>
      </w:r>
    </w:p>
    <w:p>
      <w:pPr>
        <w:pStyle w:val="Normal"/>
        <w:textAlignment w:val="auto"/>
        <w:rPr>
          <w:rFonts w:ascii="Calibri" w:hAnsi="Calibri" w:eastAsia="Calibri" w:cs="Calibri" w:asciiTheme="minorHAnsi" w:cstheme="minorHAnsi" w:hAnsiTheme="minorHAnsi"/>
          <w:sz w:val="24"/>
          <w:szCs w:val="24"/>
          <w:lang w:val="es-CO" w:eastAsia="es-CO"/>
        </w:rPr>
      </w:pPr>
      <w:r>
        <w:rPr>
          <w:rFonts w:eastAsia="Calibri" w:cs="Calibri" w:ascii="Calibri" w:hAnsi="Calibri" w:asciiTheme="minorHAnsi" w:cstheme="minorHAnsi" w:hAnsiTheme="minorHAnsi"/>
          <w:sz w:val="24"/>
          <w:szCs w:val="24"/>
          <w:lang w:val="es-CO" w:eastAsia="es-CO"/>
        </w:rPr>
        <w:t xml:space="preserve">Es fundamental que el estudiante asuma una rutina de estudio independiente que incluya la lectura a tiempo de las secciones del libro de texto, la preparación de los ejercicios asignados y la búsqueda activa de apoyo para la resolución de dudas y obtención de retroalimentación ofrecidas por la universidad. En este último aspecto el estudiante puede: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 xml:space="preserve">Recurrir a las horas de atención de estudiantes asignadas por sus profesores o al Pentágono, ubicado en el bloque L de la Universidad, donde hay monitores dispuestos a aclarar dudas y guiar a los estudiantes.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 xml:space="preserve">Participar activamente en las clases (magistrales y complementarias) con preguntas y desarrollo de ejercicios, para así detectar y corregir errores y malentendidos a tiempo. </w:t>
      </w:r>
    </w:p>
    <w:p>
      <w:pPr>
        <w:pStyle w:val="ListParagraph"/>
        <w:numPr>
          <w:ilvl w:val="0"/>
          <w:numId w:val="14"/>
        </w:numPr>
        <w:overflowPunct w:val="false"/>
        <w:rPr>
          <w:rFonts w:ascii="Calibri" w:hAnsi="Calibri" w:cs="Calibri" w:asciiTheme="minorHAnsi" w:cstheme="minorHAnsi" w:hAnsiTheme="minorHAnsi"/>
          <w:sz w:val="24"/>
          <w:szCs w:val="24"/>
          <w:lang w:eastAsia="es-CO"/>
        </w:rPr>
      </w:pPr>
      <w:r>
        <w:rPr>
          <w:rFonts w:cs="Calibri" w:cstheme="minorHAnsi"/>
          <w:sz w:val="24"/>
          <w:szCs w:val="24"/>
          <w:lang w:eastAsia="es-CO"/>
        </w:rPr>
        <w:t>Usar como práctica los talleres y exámenes pasados disponibles en la portal de Internet del curso</w:t>
      </w:r>
    </w:p>
    <w:p>
      <w:pPr>
        <w:pStyle w:val="Normal"/>
        <w:rPr>
          <w:rFonts w:ascii="Arial" w:hAnsi="Arial" w:cs="Arial"/>
          <w:sz w:val="24"/>
          <w:szCs w:val="24"/>
          <w:lang w:val="es-CO"/>
        </w:rPr>
      </w:pPr>
      <w:r>
        <w:rPr>
          <w:rFonts w:cs="Arial" w:ascii="Arial" w:hAnsi="Arial"/>
          <w:sz w:val="24"/>
          <w:szCs w:val="24"/>
          <w:lang w:val="es-CO"/>
        </w:rPr>
      </w:r>
    </w:p>
    <w:p>
      <w:pPr>
        <w:pStyle w:val="ListParagraph"/>
        <w:numPr>
          <w:ilvl w:val="0"/>
          <w:numId w:val="6"/>
        </w:numPr>
        <w:spacing w:before="0" w:after="0"/>
        <w:contextualSpacing/>
        <w:rPr>
          <w:rFonts w:ascii="Arial" w:hAnsi="Arial" w:cs="Arial"/>
          <w:b/>
          <w:b/>
          <w:sz w:val="24"/>
          <w:szCs w:val="24"/>
        </w:rPr>
      </w:pPr>
      <w:r>
        <w:rPr>
          <w:rFonts w:cs="Arial" w:ascii="Arial" w:hAnsi="Arial"/>
          <w:b/>
          <w:sz w:val="24"/>
          <w:szCs w:val="24"/>
        </w:rPr>
        <w:t>Criterios de evaluación y aspectos académicos</w:t>
      </w:r>
    </w:p>
    <w:p>
      <w:pPr>
        <w:pStyle w:val="Normal"/>
        <w:spacing w:before="0" w:after="0"/>
        <w:contextualSpacing/>
        <w:rPr>
          <w:rFonts w:ascii="Arial" w:hAnsi="Arial" w:cs="Arial"/>
          <w:b/>
          <w:b/>
          <w:sz w:val="24"/>
          <w:szCs w:val="24"/>
        </w:rPr>
      </w:pPr>
      <w:r>
        <w:rPr>
          <w:rFonts w:cs="Arial" w:ascii="Arial" w:hAnsi="Arial"/>
          <w:b/>
          <w:sz w:val="24"/>
          <w:szCs w:val="24"/>
        </w:rPr>
      </w:r>
    </w:p>
    <w:p>
      <w:pPr>
        <w:pStyle w:val="Normal"/>
        <w:rPr>
          <w:rFonts w:ascii="Arial Narrow" w:hAnsi="Arial Narrow" w:cs="Calibri"/>
          <w:sz w:val="24"/>
          <w:szCs w:val="24"/>
          <w:lang w:val="es-MX" w:eastAsia="es-MX"/>
        </w:rPr>
      </w:pPr>
      <w:r>
        <w:rPr>
          <w:rFonts w:cs="Calibri" w:ascii="Arial Narrow" w:hAnsi="Arial Narrow"/>
          <w:b/>
          <w:sz w:val="24"/>
          <w:szCs w:val="24"/>
          <w:u w:val="single"/>
          <w:lang w:val="es-MX" w:eastAsia="es-MX"/>
        </w:rPr>
        <w:t>Recuerde el juramento del uniandino</w:t>
      </w:r>
      <w:r>
        <w:rPr>
          <w:rFonts w:cs="Calibri" w:ascii="Arial Narrow" w:hAnsi="Arial Narrow"/>
          <w:sz w:val="24"/>
          <w:szCs w:val="24"/>
          <w:lang w:val="es-MX" w:eastAsia="es-MX"/>
        </w:rPr>
        <w:t>: "Juro solemnemente abstenerme de copiar o de incurrir en actos que pueden conducir a la trampa o al fraude en las pruebas académicas, o en cualquier otro acto que perjudique la integridad de mis compañeros o de la misma Universidad".</w:t>
      </w:r>
    </w:p>
    <w:p>
      <w:pPr>
        <w:pStyle w:val="ListParagraph"/>
        <w:spacing w:before="0" w:after="0"/>
        <w:ind w:left="720" w:hanging="0"/>
        <w:contextualSpacing/>
        <w:rPr>
          <w:rFonts w:ascii="Arial" w:hAnsi="Arial" w:cs="Arial"/>
          <w:b/>
          <w:b/>
          <w:sz w:val="24"/>
          <w:szCs w:val="24"/>
        </w:rPr>
      </w:pPr>
      <w:r>
        <w:rPr>
          <w:rFonts w:cs="Arial" w:ascii="Arial" w:hAnsi="Arial"/>
          <w:b/>
          <w:sz w:val="24"/>
          <w:szCs w:val="24"/>
        </w:rPr>
      </w:r>
    </w:p>
    <w:tbl>
      <w:tblPr>
        <w:tblW w:w="10206" w:type="dxa"/>
        <w:jc w:val="left"/>
        <w:tblInd w:w="0" w:type="dxa"/>
        <w:tblBorders/>
        <w:tblCellMar>
          <w:top w:w="0" w:type="dxa"/>
          <w:left w:w="70" w:type="dxa"/>
          <w:bottom w:w="0" w:type="dxa"/>
          <w:right w:w="70" w:type="dxa"/>
        </w:tblCellMar>
        <w:tblLook w:val="04a0" w:noVBand="1" w:noHBand="0" w:lastColumn="0" w:firstColumn="1" w:lastRow="0" w:firstRow="1"/>
      </w:tblPr>
      <w:tblGrid>
        <w:gridCol w:w="10206"/>
      </w:tblGrid>
      <w:tr>
        <w:trPr>
          <w:trHeight w:val="260" w:hRule="atLeast"/>
        </w:trPr>
        <w:tc>
          <w:tcPr>
            <w:tcW w:w="10206" w:type="dxa"/>
            <w:tcBorders/>
            <w:shd w:color="auto" w:fill="auto" w:val="clear"/>
            <w:vAlign w:val="bottom"/>
          </w:tcPr>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Evalución del curso: </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ListParagraph"/>
              <w:numPr>
                <w:ilvl w:val="0"/>
                <w:numId w:val="15"/>
              </w:numPr>
              <w:overflowPunct w:val="false"/>
              <w:rPr>
                <w:rFonts w:ascii="Calibri" w:hAnsi="Calibri" w:cs="Calibri" w:asciiTheme="minorHAnsi" w:cstheme="minorHAnsi" w:hAnsiTheme="minorHAnsi"/>
                <w:sz w:val="24"/>
                <w:szCs w:val="24"/>
                <w:lang w:eastAsia="en-US"/>
              </w:rPr>
            </w:pPr>
            <w:r>
              <w:rPr>
                <w:rFonts w:cs="Calibri" w:cstheme="minorHAnsi"/>
                <w:sz w:val="24"/>
                <w:szCs w:val="24"/>
              </w:rPr>
              <w:t xml:space="preserve">Dos parciales </w:t>
            </w:r>
            <w:r>
              <w:rPr>
                <w:rFonts w:cs="Calibri" w:cstheme="minorHAnsi"/>
                <w:color w:val="000000"/>
                <w:sz w:val="24"/>
                <w:szCs w:val="24"/>
                <w:lang w:eastAsia="en-US"/>
              </w:rPr>
              <w:t>(que representan cada uno el 30% de la calificación del curso).</w:t>
            </w:r>
          </w:p>
          <w:p>
            <w:pPr>
              <w:pStyle w:val="ListParagraph"/>
              <w:numPr>
                <w:ilvl w:val="0"/>
                <w:numId w:val="15"/>
              </w:numPr>
              <w:overflowPunct w:val="false"/>
              <w:rPr>
                <w:rFonts w:ascii="Calibri" w:hAnsi="Calibri" w:cs="Calibri" w:asciiTheme="minorHAnsi" w:cstheme="minorHAnsi" w:hAnsiTheme="minorHAnsi"/>
                <w:sz w:val="24"/>
                <w:szCs w:val="24"/>
                <w:lang w:eastAsia="en-US"/>
              </w:rPr>
            </w:pPr>
            <w:r>
              <w:rPr>
                <w:rFonts w:cs="Calibri" w:cstheme="minorHAnsi"/>
                <w:color w:val="000000"/>
                <w:sz w:val="24"/>
                <w:szCs w:val="24"/>
                <w:lang w:eastAsia="en-US"/>
              </w:rPr>
              <w:t>La nota de la sección complementaria (interrogatorios orales, tareas, tablero, quices, etc.) corresponde al 10% de la calificación del curso.</w:t>
            </w:r>
          </w:p>
          <w:p>
            <w:pPr>
              <w:pStyle w:val="ListParagraph"/>
              <w:numPr>
                <w:ilvl w:val="0"/>
                <w:numId w:val="15"/>
              </w:numPr>
              <w:overflowPunct w:val="false"/>
              <w:rPr>
                <w:rFonts w:ascii="Calibri" w:hAnsi="Calibri" w:cs="Calibri" w:asciiTheme="minorHAnsi" w:cstheme="minorHAnsi" w:hAnsiTheme="minorHAnsi"/>
                <w:sz w:val="24"/>
                <w:szCs w:val="24"/>
                <w:lang w:eastAsia="en-US"/>
              </w:rPr>
            </w:pPr>
            <w:r>
              <w:rPr>
                <w:rFonts w:cs="Calibri" w:cstheme="minorHAnsi"/>
                <w:color w:val="000000"/>
                <w:sz w:val="24"/>
                <w:szCs w:val="24"/>
                <w:lang w:eastAsia="en-US"/>
              </w:rPr>
              <w:t>El examen final corresponde al 30% restante de la nota del curso.</w:t>
            </w:r>
          </w:p>
          <w:p>
            <w:pPr>
              <w:pStyle w:val="ListParagraph"/>
              <w:numPr>
                <w:ilvl w:val="0"/>
                <w:numId w:val="15"/>
              </w:numPr>
              <w:overflowPunct w:val="false"/>
              <w:spacing w:before="0" w:after="200"/>
              <w:rPr>
                <w:rFonts w:ascii="Calibri" w:hAnsi="Calibri" w:cs="Calibri" w:asciiTheme="minorHAnsi" w:cstheme="minorHAnsi" w:hAnsiTheme="minorHAnsi"/>
                <w:sz w:val="24"/>
                <w:szCs w:val="24"/>
                <w:lang w:eastAsia="en-US"/>
              </w:rPr>
            </w:pPr>
            <w:r>
              <w:rPr>
                <w:rFonts w:cs="Calibri" w:cstheme="minorHAnsi"/>
                <w:sz w:val="24"/>
                <w:szCs w:val="24"/>
              </w:rPr>
              <w:t xml:space="preserve">Porcentajes de cada evaluación: 60% exámenes parciales (habrá 2 exámens parciales a lo largo del semestre, cada uno aporta 30% a la nota definitiva). 30% examen final, 10% otras actividades a discreción del profesor (por ejemplo nota de la complementaria) </w:t>
            </w:r>
          </w:p>
        </w:tc>
      </w:tr>
    </w:tbl>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Fechas Importantes: </w:t>
      </w:r>
    </w:p>
    <w:p>
      <w:pPr>
        <w:pStyle w:val="Normal"/>
        <w:rPr>
          <w:rFonts w:ascii="Calibri" w:hAnsi="Calibri" w:eastAsia="Calibri" w:cs="Calibri" w:asciiTheme="minorHAnsi" w:cstheme="minorHAnsi" w:hAnsiTheme="minorHAnsi"/>
          <w:color w:val="000000"/>
          <w:sz w:val="24"/>
          <w:szCs w:val="24"/>
          <w:lang w:val="es-CO" w:eastAsia="en-US"/>
        </w:rPr>
      </w:pPr>
      <w:r>
        <w:rPr>
          <w:rFonts w:eastAsia="Calibri" w:cs="Calibri" w:cstheme="minorHAnsi" w:ascii="Calibri" w:hAnsi="Calibri"/>
          <w:color w:val="000000"/>
          <w:sz w:val="24"/>
          <w:szCs w:val="24"/>
          <w:lang w:val="es-CO" w:eastAsia="en-US"/>
        </w:rPr>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eastAsia="Calibri" w:cs="Calibri" w:ascii="Calibri" w:hAnsi="Calibri" w:asciiTheme="minorHAnsi" w:cstheme="minorHAnsi" w:hAnsiTheme="minorHAnsi"/>
          <w:color w:val="000000"/>
          <w:sz w:val="24"/>
          <w:szCs w:val="24"/>
          <w:lang w:val="es-CO" w:eastAsia="en-US"/>
        </w:rPr>
        <w:t>Fechas de los parciales según el programa semanal.</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ascii="Calibri" w:hAnsi="Calibri" w:asciiTheme="minorHAnsi" w:cstheme="minorHAnsi" w:hAnsiTheme="minorHAnsi"/>
          <w:b/>
          <w:bCs/>
          <w:color w:val="000000"/>
          <w:sz w:val="24"/>
          <w:szCs w:val="24"/>
          <w:lang w:val="es-CO" w:eastAsia="en-US"/>
        </w:rPr>
        <w:t xml:space="preserve">Parámetros de calificación de actividades académicas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rFonts w:ascii="Calibri" w:hAnsi="Calibri" w:cs="Calibri" w:asciiTheme="minorHAnsi" w:cstheme="minorHAnsi" w:hAnsiTheme="minorHAnsi"/>
          <w:sz w:val="24"/>
          <w:szCs w:val="24"/>
          <w:lang w:val="es-CO" w:eastAsia="en-US"/>
        </w:rPr>
      </w:pPr>
      <w:r>
        <w:rPr>
          <w:rFonts w:cs="Calibri" w:ascii="Calibri" w:hAnsi="Calibri" w:asciiTheme="minorHAnsi" w:cstheme="minorHAnsi" w:hAnsiTheme="minorHAnsi"/>
          <w:sz w:val="24"/>
          <w:szCs w:val="24"/>
          <w:lang w:val="es-CO" w:eastAsia="en-US"/>
        </w:rPr>
        <w:t xml:space="preserve">En todas las evaluaciones, se pide redactar una solución argumentada y detallada, con frases en español o inglés y una presentación clara de los cálculos. Cualquier respuesta debe ser matemáticamente justificada. Soluciones sin debido desarrollo y justificación no son validas.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pPr>
      <w:r>
        <w:rPr>
          <w:rFonts w:cs="Calibri" w:ascii="Calibri" w:hAnsi="Calibri" w:asciiTheme="minorHAnsi" w:cstheme="minorHAnsi" w:hAnsiTheme="minorHAnsi"/>
          <w:b/>
          <w:bCs/>
          <w:color w:val="000000"/>
          <w:sz w:val="24"/>
          <w:szCs w:val="24"/>
          <w:lang w:val="es-CO" w:eastAsia="en-US"/>
        </w:rPr>
        <w:t>No se c</w:t>
      </w:r>
      <w:r>
        <w:rPr>
          <w:rFonts w:cs="Calibri" w:ascii="Calibri" w:hAnsi="Calibri" w:asciiTheme="minorHAnsi" w:cstheme="minorHAnsi" w:hAnsiTheme="minorHAnsi"/>
          <w:b/>
          <w:bCs/>
          <w:color w:val="000000"/>
          <w:sz w:val="24"/>
          <w:szCs w:val="24"/>
          <w:lang w:val="es-CO" w:eastAsia="en-US"/>
        </w:rPr>
        <w:t>alifica</w:t>
      </w:r>
      <w:r>
        <w:rPr>
          <w:rFonts w:cs="Calibri" w:ascii="Calibri" w:hAnsi="Calibri" w:asciiTheme="minorHAnsi" w:cstheme="minorHAnsi" w:hAnsiTheme="minorHAnsi"/>
          <w:b/>
          <w:bCs/>
          <w:color w:val="000000"/>
          <w:sz w:val="24"/>
          <w:szCs w:val="24"/>
          <w:lang w:val="es-CO" w:eastAsia="en-US"/>
        </w:rPr>
        <w:t>rá</w:t>
      </w:r>
      <w:r>
        <w:rPr>
          <w:rFonts w:cs="Calibri" w:ascii="Calibri" w:hAnsi="Calibri" w:asciiTheme="minorHAnsi" w:cstheme="minorHAnsi" w:hAnsiTheme="minorHAnsi"/>
          <w:b/>
          <w:bCs/>
          <w:color w:val="000000"/>
          <w:sz w:val="24"/>
          <w:szCs w:val="24"/>
          <w:lang w:val="es-CO" w:eastAsia="en-US"/>
        </w:rPr>
        <w:t xml:space="preserve"> </w:t>
      </w:r>
      <w:r>
        <w:rPr>
          <w:rFonts w:cs="Calibri" w:ascii="Calibri" w:hAnsi="Calibri" w:asciiTheme="minorHAnsi" w:cstheme="minorHAnsi" w:hAnsiTheme="minorHAnsi"/>
          <w:b/>
          <w:bCs/>
          <w:color w:val="000000"/>
          <w:sz w:val="24"/>
          <w:szCs w:val="24"/>
          <w:lang w:val="es-CO" w:eastAsia="en-US"/>
        </w:rPr>
        <w:t>la</w:t>
      </w:r>
      <w:r>
        <w:rPr>
          <w:rFonts w:cs="Calibri" w:ascii="Calibri" w:hAnsi="Calibri" w:asciiTheme="minorHAnsi" w:cstheme="minorHAnsi" w:hAnsiTheme="minorHAnsi"/>
          <w:b/>
          <w:bCs/>
          <w:color w:val="000000"/>
          <w:sz w:val="24"/>
          <w:szCs w:val="24"/>
          <w:lang w:val="es-CO" w:eastAsia="en-US"/>
        </w:rPr>
        <w:t xml:space="preserve"> asistencia </w:t>
      </w:r>
      <w:r>
        <w:rPr>
          <w:rFonts w:cs="Calibri" w:ascii="Calibri" w:hAnsi="Calibri" w:asciiTheme="minorHAnsi" w:cstheme="minorHAnsi" w:hAnsiTheme="minorHAnsi"/>
          <w:b/>
          <w:bCs/>
          <w:color w:val="000000"/>
          <w:sz w:val="24"/>
          <w:szCs w:val="24"/>
          <w:lang w:val="es-CO" w:eastAsia="en-US"/>
        </w:rPr>
        <w:t>a clase</w:t>
      </w:r>
      <w:r>
        <w:rPr>
          <w:rFonts w:cs="Calibri" w:ascii="Calibri" w:hAnsi="Calibri" w:asciiTheme="minorHAnsi" w:cstheme="minorHAnsi" w:hAnsiTheme="minorHAnsi"/>
          <w:b/>
          <w:bCs/>
          <w:color w:val="000000"/>
          <w:sz w:val="24"/>
          <w:szCs w:val="24"/>
          <w:lang w:val="es-CO" w:eastAsia="en-US"/>
        </w:rPr>
        <w:t xml:space="preserve">. </w:t>
      </w:r>
    </w:p>
    <w:p>
      <w:pPr>
        <w:pStyle w:val="Normal"/>
        <w:textAlignment w:val="auto"/>
        <w:rPr>
          <w:rFonts w:ascii="Calibri" w:hAnsi="Calibri" w:cs="Calibri" w:asciiTheme="minorHAnsi" w:cstheme="minorHAnsi" w:hAnsiTheme="minorHAnsi"/>
          <w:sz w:val="24"/>
          <w:szCs w:val="24"/>
          <w:lang w:val="es-CO" w:eastAsia="en-US"/>
        </w:rPr>
      </w:pPr>
      <w:r>
        <w:rPr>
          <w:rFonts w:cs="Calibri" w:cstheme="minorHAnsi" w:ascii="Calibri" w:hAnsi="Calibri"/>
          <w:sz w:val="24"/>
          <w:szCs w:val="24"/>
          <w:lang w:val="es-CO" w:eastAsia="en-US"/>
        </w:rPr>
      </w:r>
    </w:p>
    <w:p>
      <w:pPr>
        <w:pStyle w:val="Normal"/>
        <w:textAlignment w:val="auto"/>
        <w:rPr/>
      </w:pPr>
      <w:r>
        <w:rPr>
          <w:rFonts w:cs="Calibri" w:ascii="Calibri" w:hAnsi="Calibri" w:asciiTheme="minorHAnsi" w:cstheme="minorHAnsi" w:hAnsiTheme="minorHAnsi"/>
          <w:b/>
          <w:bCs/>
          <w:color w:val="000000"/>
          <w:sz w:val="24"/>
          <w:szCs w:val="24"/>
          <w:lang w:val="es-CO" w:eastAsia="en-US"/>
        </w:rPr>
        <w:t xml:space="preserve">Reclamos: </w:t>
      </w:r>
      <w:r>
        <w:rPr>
          <w:rFonts w:cs="Calibri" w:ascii="Calibri" w:hAnsi="Calibri" w:asciiTheme="minorHAnsi" w:cstheme="minorHAnsi" w:hAnsiTheme="minorHAnsi"/>
          <w:b/>
          <w:bCs/>
          <w:color w:val="000000"/>
          <w:sz w:val="24"/>
          <w:szCs w:val="24"/>
          <w:lang w:val="es-CO" w:eastAsia="en-US"/>
        </w:rPr>
        <w:t>se hará por escrito al profesor dentro de la semana en la caul se entregan las evaluaciones</w:t>
      </w:r>
      <w:r>
        <w:rPr>
          <w:rFonts w:cs="Calibri" w:ascii="Calibri" w:hAnsi="Calibri" w:asciiTheme="minorHAnsi" w:cstheme="minorHAnsi" w:hAnsiTheme="minorHAnsi"/>
          <w:b/>
          <w:bCs/>
          <w:color w:val="000000"/>
          <w:sz w:val="24"/>
          <w:szCs w:val="24"/>
          <w:lang w:val="es-CO" w:eastAsia="en-US"/>
        </w:rPr>
        <w:t xml:space="preserve">. </w:t>
      </w:r>
    </w:p>
    <w:p>
      <w:pPr>
        <w:pStyle w:val="Normal"/>
        <w:textAlignment w:val="auto"/>
        <w:rPr>
          <w:rFonts w:ascii="Calibri" w:hAnsi="Calibri" w:cs="Calibri" w:asciiTheme="minorHAnsi" w:cstheme="minorHAnsi" w:hAnsiTheme="minorHAnsi"/>
          <w:b/>
          <w:b/>
          <w:bCs/>
          <w:color w:val="000000"/>
          <w:sz w:val="24"/>
          <w:szCs w:val="24"/>
          <w:lang w:val="es-CO" w:eastAsia="en-US"/>
        </w:rPr>
      </w:pPr>
      <w:r>
        <w:rPr>
          <w:rFonts w:cs="Calibri" w:cstheme="minorHAnsi" w:ascii="Calibri" w:hAnsi="Calibri"/>
          <w:b/>
          <w:bCs/>
          <w:color w:val="000000"/>
          <w:sz w:val="24"/>
          <w:szCs w:val="24"/>
          <w:lang w:val="es-CO" w:eastAsia="en-US"/>
        </w:rPr>
      </w:r>
    </w:p>
    <w:p>
      <w:pPr>
        <w:pStyle w:val="Normal"/>
        <w:textAlignment w:val="auto"/>
        <w:rPr/>
      </w:pPr>
      <w:r>
        <w:rPr>
          <w:rFonts w:cs="Calibri" w:ascii="Calibri" w:hAnsi="Calibri" w:asciiTheme="minorHAnsi" w:cstheme="minorHAnsi" w:hAnsiTheme="minorHAnsi"/>
          <w:b/>
          <w:bCs/>
          <w:color w:val="000000"/>
          <w:sz w:val="24"/>
          <w:szCs w:val="24"/>
          <w:lang w:val="es-CO" w:eastAsia="en-US"/>
        </w:rPr>
        <w:t xml:space="preserve">Política de aproximación de notas: </w:t>
      </w:r>
      <w:r>
        <w:rPr>
          <w:rFonts w:cs="Calibri" w:ascii="Calibri" w:hAnsi="Calibri" w:asciiTheme="minorHAnsi" w:cstheme="minorHAnsi" w:hAnsiTheme="minorHAnsi"/>
          <w:b/>
          <w:bCs/>
          <w:color w:val="000000"/>
          <w:sz w:val="24"/>
          <w:szCs w:val="24"/>
          <w:lang w:val="es-CO" w:eastAsia="en-US"/>
        </w:rPr>
        <w:t>las notas tiene dos dígitos, se aproximará las notas de 2.80 a 2.99 por 3.00 y las notas de 4.80 a 4.99 por 5.00.</w:t>
      </w:r>
    </w:p>
    <w:p>
      <w:pPr>
        <w:pStyle w:val="ListParagraph"/>
        <w:spacing w:before="0" w:after="0"/>
        <w:ind w:left="720" w:hanging="0"/>
        <w:contextualSpacing/>
        <w:rPr>
          <w:rFonts w:ascii="Arial" w:hAnsi="Arial" w:cs="Arial"/>
          <w:sz w:val="24"/>
          <w:szCs w:val="24"/>
        </w:rPr>
      </w:pPr>
      <w:r>
        <w:rPr>
          <w:rFonts w:cs="Arial" w:ascii="Arial" w:hAnsi="Arial"/>
          <w:sz w:val="24"/>
          <w:szCs w:val="24"/>
        </w:rPr>
      </w:r>
    </w:p>
    <w:p>
      <w:pPr>
        <w:pStyle w:val="ListParagraph"/>
        <w:numPr>
          <w:ilvl w:val="0"/>
          <w:numId w:val="6"/>
        </w:numPr>
        <w:spacing w:before="0" w:after="0"/>
        <w:rPr>
          <w:rFonts w:ascii="Arial" w:hAnsi="Arial" w:cs="Arial"/>
          <w:b/>
          <w:b/>
          <w:sz w:val="24"/>
          <w:szCs w:val="24"/>
        </w:rPr>
      </w:pPr>
      <w:r>
        <w:rPr>
          <w:rFonts w:cs="Arial" w:ascii="Arial" w:hAnsi="Arial"/>
          <w:b/>
          <w:sz w:val="24"/>
          <w:szCs w:val="24"/>
        </w:rPr>
        <w:t>Bibliografía</w:t>
      </w:r>
    </w:p>
    <w:p>
      <w:pPr>
        <w:pStyle w:val="Normal"/>
        <w:rPr>
          <w:rFonts w:ascii="Arial" w:hAnsi="Arial" w:cs="Arial"/>
          <w:sz w:val="24"/>
          <w:szCs w:val="24"/>
          <w:lang w:val="es-ES"/>
        </w:rPr>
      </w:pPr>
      <w:r>
        <w:rPr>
          <w:rFonts w:cs="Arial" w:ascii="Arial" w:hAnsi="Arial"/>
          <w:sz w:val="24"/>
          <w:szCs w:val="24"/>
          <w:lang w:val="es-ES"/>
        </w:rPr>
      </w:r>
    </w:p>
    <w:p>
      <w:pPr>
        <w:pStyle w:val="Normal"/>
        <w:rPr>
          <w:rFonts w:ascii="Calibri" w:hAnsi="Calibri" w:eastAsia="Batang" w:cs="Calibri" w:asciiTheme="minorHAnsi" w:cstheme="minorHAnsi" w:hAnsiTheme="minorHAnsi"/>
          <w:sz w:val="24"/>
          <w:szCs w:val="24"/>
          <w:lang w:val="es-CO" w:eastAsia="en-US"/>
        </w:rPr>
      </w:pPr>
      <w:r>
        <w:rPr>
          <w:rFonts w:eastAsia="Batang" w:cs="Calibri" w:ascii="Calibri" w:hAnsi="Calibri" w:asciiTheme="minorHAnsi" w:cstheme="minorHAnsi" w:hAnsiTheme="minorHAnsi"/>
          <w:b/>
          <w:sz w:val="24"/>
          <w:szCs w:val="24"/>
          <w:lang w:val="es-CO" w:eastAsia="en-US"/>
        </w:rPr>
        <w:t>TEXTO GUÍA:</w:t>
      </w:r>
      <w:r>
        <w:rPr>
          <w:rFonts w:eastAsia="Batang" w:cs="Calibri" w:ascii="Calibri" w:hAnsi="Calibri" w:asciiTheme="minorHAnsi" w:cstheme="minorHAnsi" w:hAnsiTheme="minorHAnsi"/>
          <w:sz w:val="24"/>
          <w:szCs w:val="24"/>
          <w:lang w:val="es-CO" w:eastAsia="en-US"/>
        </w:rPr>
        <w:t xml:space="preserve"> J.E. Marsden y  A.J. Tromba, Cálculo Vectorial, 3ra Edición, Addison-Wesley Iberoamericana, 1991.</w:t>
      </w:r>
    </w:p>
    <w:p>
      <w:pPr>
        <w:pStyle w:val="Normal"/>
        <w:rPr>
          <w:rFonts w:ascii="Calibri" w:hAnsi="Calibri" w:cs="Calibri" w:asciiTheme="minorHAnsi" w:cstheme="minorHAnsi" w:hAnsiTheme="minorHAnsi"/>
          <w:sz w:val="24"/>
          <w:szCs w:val="24"/>
          <w:lang w:val="es-CO"/>
        </w:rPr>
      </w:pPr>
      <w:r>
        <w:rPr>
          <w:rFonts w:cs="Calibri" w:cstheme="minorHAnsi" w:ascii="Calibri" w:hAnsi="Calibri"/>
          <w:sz w:val="24"/>
          <w:szCs w:val="24"/>
          <w:lang w:val="es-CO"/>
        </w:rPr>
      </w:r>
    </w:p>
    <w:p>
      <w:pPr>
        <w:pStyle w:val="Normal"/>
        <w:textAlignment w:val="auto"/>
        <w:rPr>
          <w:rFonts w:ascii="Calibri" w:hAnsi="Calibri" w:eastAsia="Batang" w:cs="Calibri" w:asciiTheme="minorHAnsi" w:cstheme="minorHAnsi" w:hAnsiTheme="minorHAnsi"/>
          <w:sz w:val="24"/>
          <w:szCs w:val="24"/>
          <w:lang w:eastAsia="en-US"/>
        </w:rPr>
      </w:pPr>
      <w:r>
        <w:rPr>
          <w:rFonts w:eastAsia="Batang" w:cs="Calibri" w:ascii="Calibri" w:hAnsi="Calibri" w:asciiTheme="minorHAnsi" w:cstheme="minorHAnsi" w:hAnsiTheme="minorHAnsi"/>
          <w:b/>
          <w:sz w:val="24"/>
          <w:szCs w:val="24"/>
          <w:lang w:eastAsia="en-US"/>
        </w:rPr>
        <w:t>Bibliografía adicional:</w:t>
      </w:r>
      <w:r>
        <w:rPr>
          <w:rFonts w:eastAsia="Batang" w:cs="Calibri" w:ascii="Calibri" w:hAnsi="Calibri" w:asciiTheme="minorHAnsi" w:cstheme="minorHAnsi" w:hAnsiTheme="minorHAnsi"/>
          <w:sz w:val="24"/>
          <w:szCs w:val="24"/>
          <w:lang w:eastAsia="en-US"/>
        </w:rPr>
        <w:t xml:space="preserve"> STEWART JAMES, Calculus Early Transcendentals, Sixth Edition (6E), Early Transcendentals Brooks-Cole/CENGAGE learning, 2008</w:t>
      </w:r>
    </w:p>
    <w:p>
      <w:pPr>
        <w:pStyle w:val="Heading1"/>
        <w:numPr>
          <w:ilvl w:val="0"/>
          <w:numId w:val="1"/>
        </w:numPr>
        <w:rPr>
          <w:rFonts w:ascii="Arial" w:hAnsi="Arial" w:cs="Arial"/>
          <w:color w:val="365F91"/>
          <w:sz w:val="24"/>
          <w:szCs w:val="24"/>
        </w:rPr>
      </w:pPr>
      <w:bookmarkStart w:id="1" w:name="_Toc360604263"/>
      <w:bookmarkEnd w:id="1"/>
      <w:r>
        <w:rPr>
          <w:rFonts w:cs="Arial" w:ascii="Arial" w:hAnsi="Arial"/>
          <w:color w:val="365F91"/>
          <w:sz w:val="24"/>
          <w:szCs w:val="24"/>
        </w:rPr>
        <w:t>RÉGIMEN ACADÉMICO</w:t>
      </w:r>
    </w:p>
    <w:p>
      <w:pPr>
        <w:pStyle w:val="Footer"/>
        <w:jc w:val="both"/>
        <w:rPr>
          <w:rFonts w:ascii="Arial" w:hAnsi="Arial" w:eastAsia="Batang" w:cs="Arial"/>
          <w:sz w:val="24"/>
          <w:szCs w:val="24"/>
        </w:rPr>
      </w:pPr>
      <w:r>
        <w:rPr>
          <w:rFonts w:eastAsia="Batang" w:cs="Arial" w:ascii="Arial" w:hAnsi="Arial"/>
          <w:sz w:val="24"/>
          <w:szCs w:val="24"/>
        </w:rPr>
        <w:t>Las siguientes disposiciones académicas se deberán tener en cuenta en la elaboración de los programas de los cursos:</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true"/>
        <w:textAlignment w:val="auto"/>
        <w:rPr>
          <w:rFonts w:ascii="Arial" w:hAnsi="Arial" w:cs="Arial"/>
          <w:b/>
          <w:b/>
          <w:sz w:val="24"/>
          <w:szCs w:val="24"/>
        </w:rPr>
      </w:pPr>
      <w:r>
        <w:rPr>
          <w:rFonts w:cs="Arial" w:ascii="Arial" w:hAnsi="Arial"/>
          <w:b/>
          <w:sz w:val="24"/>
          <w:szCs w:val="24"/>
        </w:rPr>
        <w:t>Asistencia a clase:</w:t>
      </w:r>
    </w:p>
    <w:p>
      <w:pPr>
        <w:pStyle w:val="Normal"/>
        <w:rPr>
          <w:rFonts w:ascii="Arial" w:hAnsi="Arial" w:cs="Arial"/>
          <w:b/>
          <w:b/>
          <w:sz w:val="24"/>
          <w:szCs w:val="24"/>
        </w:rPr>
      </w:pPr>
      <w:r>
        <w:rPr>
          <w:rFonts w:cs="Arial" w:ascii="Arial" w:hAnsi="Arial"/>
          <w:b/>
          <w:sz w:val="24"/>
          <w:szCs w:val="24"/>
        </w:rPr>
      </w:r>
    </w:p>
    <w:p>
      <w:pPr>
        <w:pStyle w:val="Footer"/>
        <w:jc w:val="both"/>
        <w:rPr>
          <w:rFonts w:ascii="Arial" w:hAnsi="Arial" w:eastAsia="Batang" w:cs="Arial"/>
          <w:sz w:val="24"/>
          <w:szCs w:val="24"/>
        </w:rPr>
      </w:pPr>
      <w:r>
        <w:rPr>
          <w:rFonts w:eastAsia="Batang" w:cs="Arial" w:ascii="Arial" w:hAnsi="Arial"/>
          <w:sz w:val="24"/>
          <w:szCs w:val="24"/>
        </w:rPr>
        <w:t>Los cursos iniciarán el día establecido para ello en el calendario académico, y los profesores velarán por el cumplimiento del programa. (Art. 41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Las clases deben empezar a la hora en punto o a la media hora, y terminar diez minutos antes de la hora en punto o de la media hora (Art. 42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3"/>
        </w:numPr>
        <w:jc w:val="both"/>
        <w:rPr>
          <w:rFonts w:ascii="Arial" w:hAnsi="Arial" w:eastAsia="Batang" w:cs="Arial"/>
          <w:b/>
          <w:b/>
          <w:sz w:val="24"/>
          <w:szCs w:val="24"/>
        </w:rPr>
      </w:pPr>
      <w:r>
        <w:rPr>
          <w:rFonts w:eastAsia="Batang" w:cs="Arial" w:ascii="Arial" w:hAnsi="Arial"/>
          <w:b/>
          <w:sz w:val="24"/>
          <w:szCs w:val="24"/>
        </w:rPr>
        <w:t>Inasistencia a clase y a evaluaciones:</w:t>
      </w:r>
    </w:p>
    <w:p>
      <w:pPr>
        <w:pStyle w:val="NoSpacing"/>
        <w:jc w:val="both"/>
        <w:rPr>
          <w:rFonts w:ascii="Arial" w:hAnsi="Arial" w:eastAsia="Batang" w:cs="Arial"/>
          <w:b/>
          <w:b/>
          <w:sz w:val="24"/>
          <w:szCs w:val="24"/>
        </w:rPr>
      </w:pPr>
      <w:r>
        <w:rPr>
          <w:rFonts w:eastAsia="Batang" w:cs="Arial" w:ascii="Arial" w:hAnsi="Arial"/>
          <w:b/>
          <w:sz w:val="24"/>
          <w:szCs w:val="24"/>
        </w:rPr>
      </w:r>
    </w:p>
    <w:p>
      <w:pPr>
        <w:pStyle w:val="NoSpacing"/>
        <w:jc w:val="both"/>
        <w:rPr>
          <w:rFonts w:ascii="Arial" w:hAnsi="Arial" w:eastAsia="Batang" w:cs="Arial"/>
          <w:sz w:val="24"/>
          <w:szCs w:val="24"/>
        </w:rPr>
      </w:pPr>
      <w:r>
        <w:rPr>
          <w:rFonts w:eastAsia="Batang" w:cs="Arial" w:ascii="Arial" w:hAnsi="Arial"/>
          <w:sz w:val="24"/>
          <w:szCs w:val="24"/>
        </w:rPr>
        <w:t xml:space="preserve">Los parámetros para controlar la asistencia deberán ser informados a los estudiantes el primer día de clase. Se sugiere informar si la asistencia y la participación serán criterios de evaluación, así como la forma en que serán calificados. </w:t>
      </w:r>
      <w:r>
        <w:rPr>
          <w:rFonts w:cs="Arial" w:ascii="Arial" w:hAnsi="Arial"/>
          <w:sz w:val="24"/>
          <w:szCs w:val="24"/>
        </w:rPr>
        <w:t>Será facultativo de cada profesor determinar las consecuencias de la inasistencia si esta supera el 20% (Art. 43 y 44 RGRPr).</w:t>
      </w:r>
    </w:p>
    <w:p>
      <w:pPr>
        <w:pStyle w:val="NoSpacing"/>
        <w:jc w:val="both"/>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El estudiante que desee justificar su ausencia deberá hacerlo ante el profesor dentro de un término no superior a ocho (8) días hábiles siguientes a la fecha de ésta. De acuerdo con el parágrafo del artículo 45 del RGEPr, serán excusas válidas las siguientes:</w:t>
      </w:r>
    </w:p>
    <w:p>
      <w:pPr>
        <w:pStyle w:val="Footer"/>
        <w:jc w:val="both"/>
        <w:rPr>
          <w:rFonts w:ascii="Arial" w:hAnsi="Arial" w:eastAsia="Batang" w:cs="Arial"/>
          <w:sz w:val="24"/>
          <w:szCs w:val="24"/>
        </w:rPr>
      </w:pPr>
      <w:r>
        <w:rPr>
          <w:rFonts w:eastAsia="Batang" w:cs="Arial" w:ascii="Arial" w:hAnsi="Arial"/>
          <w:sz w:val="24"/>
          <w:szCs w:val="24"/>
        </w:rPr>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Incapacidades médicas.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Incapacidades expedidas por la Decanatura de Estudiantes.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Muerte del cónyuge o de un familiar hasta del segundo grado de consanguinidad.</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Autorización para participar en eventos deportivos, expedida por la Decanatura de Estudiantes.</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Autorización para asistir a actividades académicas y culturales, expedida por la respectiva dependencia académica.</w:t>
      </w:r>
    </w:p>
    <w:p>
      <w:pPr>
        <w:pStyle w:val="NoSpacing"/>
        <w:numPr>
          <w:ilvl w:val="0"/>
          <w:numId w:val="4"/>
        </w:numPr>
        <w:jc w:val="both"/>
        <w:rPr>
          <w:rFonts w:ascii="Arial" w:hAnsi="Arial" w:cs="Arial"/>
          <w:sz w:val="24"/>
          <w:szCs w:val="24"/>
          <w:lang w:eastAsia="es-CO"/>
        </w:rPr>
      </w:pPr>
      <w:r>
        <w:rPr>
          <w:rFonts w:cs="Arial" w:ascii="Arial" w:hAnsi="Arial"/>
          <w:sz w:val="24"/>
          <w:szCs w:val="24"/>
          <w:lang w:eastAsia="es-CO"/>
        </w:rPr>
        <w:t>Citación a diligencias judiciales, debidamente respaldada por el documento respectivo.</w:t>
      </w:r>
    </w:p>
    <w:p>
      <w:pPr>
        <w:pStyle w:val="Footer"/>
        <w:jc w:val="both"/>
        <w:rPr>
          <w:rFonts w:ascii="Arial" w:hAnsi="Arial" w:cs="Arial"/>
          <w:color w:val="4472C4" w:themeColor="accent5"/>
          <w:sz w:val="24"/>
          <w:szCs w:val="24"/>
        </w:rPr>
      </w:pPr>
      <w:r>
        <w:rPr>
          <w:rFonts w:cs="Arial" w:ascii="Arial" w:hAnsi="Arial"/>
          <w:color w:val="4472C4" w:themeColor="accent5"/>
          <w:sz w:val="24"/>
          <w:szCs w:val="24"/>
        </w:rPr>
        <w:t xml:space="preserve">El profesor podrá tener en cuenta otras circunstancias que a su criterio puedan justificar la ausencia del estudiante. </w:t>
      </w:r>
    </w:p>
    <w:p>
      <w:pPr>
        <w:pStyle w:val="Normal"/>
        <w:rPr>
          <w:rFonts w:eastAsia="Batang"/>
          <w:lang w:val="es-CO" w:eastAsia="en-US"/>
        </w:rPr>
      </w:pPr>
      <w:r>
        <w:rPr>
          <w:rFonts w:eastAsia="Batang"/>
          <w:lang w:val="es-CO" w:eastAsia="en-US"/>
        </w:rPr>
      </w:r>
    </w:p>
    <w:p>
      <w:pPr>
        <w:pStyle w:val="Footer"/>
        <w:jc w:val="both"/>
        <w:rPr>
          <w:rFonts w:ascii="Arial" w:hAnsi="Arial" w:eastAsia="Batang" w:cs="Arial"/>
          <w:sz w:val="24"/>
          <w:szCs w:val="24"/>
        </w:rPr>
      </w:pPr>
      <w:r>
        <w:rPr>
          <w:rFonts w:eastAsia="Batang" w:cs="Arial" w:ascii="Arial" w:hAnsi="Arial"/>
          <w:sz w:val="24"/>
          <w:szCs w:val="24"/>
        </w:rPr>
        <w:t>La Decanatura de Estudiantes prestará colaboración en la verificación de las incapacidades médicas.</w:t>
      </w:r>
    </w:p>
    <w:p>
      <w:pPr>
        <w:pStyle w:val="NoSpacing"/>
        <w:jc w:val="both"/>
        <w:rPr>
          <w:rFonts w:ascii="Arial" w:hAnsi="Arial" w:cs="Arial"/>
          <w:sz w:val="24"/>
          <w:szCs w:val="24"/>
        </w:rPr>
      </w:pPr>
      <w:r>
        <w:rPr>
          <w:rFonts w:cs="Arial" w:ascii="Arial" w:hAnsi="Arial"/>
          <w:sz w:val="24"/>
          <w:szCs w:val="24"/>
        </w:rPr>
      </w:r>
    </w:p>
    <w:p>
      <w:pPr>
        <w:pStyle w:val="NoSpacing"/>
        <w:numPr>
          <w:ilvl w:val="0"/>
          <w:numId w:val="11"/>
        </w:numPr>
        <w:jc w:val="both"/>
        <w:rPr>
          <w:rFonts w:ascii="Arial" w:hAnsi="Arial" w:cs="Arial"/>
          <w:b/>
          <w:b/>
          <w:sz w:val="24"/>
          <w:szCs w:val="24"/>
        </w:rPr>
      </w:pPr>
      <w:r>
        <w:rPr>
          <w:rFonts w:cs="Arial" w:ascii="Arial" w:hAnsi="Arial"/>
          <w:b/>
          <w:sz w:val="24"/>
          <w:szCs w:val="24"/>
        </w:rPr>
        <w:t>Salidas de campo:</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lang w:eastAsia="es-CO"/>
        </w:rPr>
      </w:pPr>
      <w:r>
        <w:rPr>
          <w:rFonts w:cs="Arial" w:ascii="Arial" w:hAnsi="Arial"/>
          <w:sz w:val="24"/>
          <w:szCs w:val="24"/>
          <w:lang w:eastAsia="es-CO"/>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 (Art. 46 RGEPr).</w:t>
      </w:r>
    </w:p>
    <w:p>
      <w:pPr>
        <w:pStyle w:val="NoSpacing"/>
        <w:rPr>
          <w:rFonts w:ascii="Arial" w:hAnsi="Arial" w:cs="Arial"/>
          <w:sz w:val="24"/>
          <w:szCs w:val="24"/>
        </w:rPr>
      </w:pPr>
      <w:r>
        <w:rPr>
          <w:rFonts w:cs="Arial" w:ascii="Arial" w:hAnsi="Arial"/>
          <w:sz w:val="24"/>
          <w:szCs w:val="24"/>
        </w:rPr>
      </w:r>
    </w:p>
    <w:p>
      <w:pPr>
        <w:pStyle w:val="NoSpacing"/>
        <w:numPr>
          <w:ilvl w:val="0"/>
          <w:numId w:val="11"/>
        </w:numPr>
        <w:rPr>
          <w:rFonts w:ascii="Arial" w:hAnsi="Arial" w:cs="Arial"/>
          <w:b/>
          <w:b/>
          <w:sz w:val="24"/>
          <w:szCs w:val="24"/>
        </w:rPr>
      </w:pPr>
      <w:r>
        <w:rPr>
          <w:rFonts w:cs="Arial" w:ascii="Arial" w:hAnsi="Arial"/>
          <w:b/>
          <w:sz w:val="24"/>
          <w:szCs w:val="24"/>
        </w:rPr>
        <w:t>Calificaciones:</w:t>
      </w:r>
    </w:p>
    <w:p>
      <w:pPr>
        <w:pStyle w:val="NoSpacing"/>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cs="Arial"/>
          <w:sz w:val="24"/>
          <w:szCs w:val="24"/>
        </w:rPr>
      </w:pPr>
      <w:r>
        <w:rPr>
          <w:rFonts w:cs="Arial" w:ascii="Arial" w:hAnsi="Arial"/>
          <w:bCs/>
          <w:sz w:val="24"/>
          <w:szCs w:val="24"/>
        </w:rPr>
        <w:t>Se deberán</w:t>
      </w:r>
      <w:r>
        <w:rPr>
          <w:rFonts w:cs="Arial" w:ascii="Arial" w:hAnsi="Arial"/>
          <w:sz w:val="24"/>
          <w:szCs w:val="24"/>
        </w:rPr>
        <w:t xml:space="preserve"> programar como mínimo tres (3) evaluaciones. En los cursos de la escuela de verano el profesor podrá practicar una sola evaluación con un valor equivalente al 100% de la materia (Art. </w:t>
      </w:r>
      <w:r>
        <w:rPr>
          <w:rFonts w:cs="Arial" w:ascii="Arial" w:hAnsi="Arial"/>
          <w:color w:val="4472C4" w:themeColor="accent5"/>
          <w:sz w:val="24"/>
          <w:szCs w:val="24"/>
        </w:rPr>
        <w:t>47</w:t>
      </w:r>
      <w:r>
        <w:rPr>
          <w:rFonts w:cs="Arial" w:ascii="Arial" w:hAnsi="Arial"/>
          <w:sz w:val="24"/>
          <w:szCs w:val="24"/>
        </w:rPr>
        <w:t xml:space="preserve"> y parágrafo Art. </w:t>
      </w:r>
      <w:r>
        <w:rPr>
          <w:rFonts w:cs="Arial" w:ascii="Arial" w:hAnsi="Arial"/>
          <w:color w:val="4472C4" w:themeColor="accent5"/>
          <w:sz w:val="24"/>
          <w:szCs w:val="24"/>
        </w:rPr>
        <w:t>48</w:t>
      </w:r>
      <w:r>
        <w:rPr>
          <w:rFonts w:cs="Arial" w:ascii="Arial" w:hAnsi="Arial"/>
          <w:sz w:val="24"/>
          <w:szCs w:val="24"/>
        </w:rPr>
        <w:t xml:space="preserve"> RGEPr).</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cs="Arial"/>
          <w:sz w:val="24"/>
          <w:szCs w:val="24"/>
        </w:rPr>
      </w:pPr>
      <w:r>
        <w:rPr>
          <w:rFonts w:cs="Arial" w:ascii="Arial" w:hAnsi="Arial"/>
          <w:sz w:val="24"/>
          <w:szCs w:val="24"/>
        </w:rPr>
        <w:t xml:space="preserve">Ninguna de las evaluaciones podrá tener un porcentaje superior al 35%, salvo que se trate de prácticas académicas, proyectos de grado y algunos cursos del programa de música, los cuales tendrán un sistema de calificación especial que también deberá ser informado a los estudiantes en el programa del curso.  (Art. </w:t>
      </w:r>
      <w:r>
        <w:rPr>
          <w:rFonts w:cs="Arial" w:ascii="Arial" w:hAnsi="Arial"/>
          <w:color w:val="4472C4" w:themeColor="accent5"/>
          <w:sz w:val="24"/>
          <w:szCs w:val="24"/>
        </w:rPr>
        <w:t>48</w:t>
      </w:r>
      <w:r>
        <w:rPr>
          <w:rFonts w:cs="Arial" w:ascii="Arial" w:hAnsi="Arial"/>
          <w:sz w:val="24"/>
          <w:szCs w:val="24"/>
        </w:rPr>
        <w:t xml:space="preserve"> RGEPr).</w:t>
      </w:r>
    </w:p>
    <w:p>
      <w:pPr>
        <w:pStyle w:val="NoSpacing"/>
        <w:ind w:left="720" w:hanging="0"/>
        <w:jc w:val="both"/>
        <w:rPr>
          <w:rFonts w:ascii="Arial" w:hAnsi="Arial" w:cs="Arial"/>
          <w:sz w:val="24"/>
          <w:szCs w:val="24"/>
        </w:rPr>
      </w:pPr>
      <w:r>
        <w:rPr>
          <w:rFonts w:cs="Arial" w:ascii="Arial" w:hAnsi="Arial"/>
          <w:sz w:val="24"/>
          <w:szCs w:val="24"/>
        </w:rPr>
      </w:r>
    </w:p>
    <w:p>
      <w:pPr>
        <w:pStyle w:val="Normal"/>
        <w:numPr>
          <w:ilvl w:val="0"/>
          <w:numId w:val="9"/>
        </w:numPr>
        <w:jc w:val="both"/>
        <w:textAlignment w:val="auto"/>
        <w:rPr>
          <w:rFonts w:ascii="Arial" w:hAnsi="Arial" w:cs="Arial"/>
          <w:sz w:val="24"/>
          <w:szCs w:val="24"/>
          <w:lang w:val="es-ES" w:eastAsia="es-CO"/>
        </w:rPr>
      </w:pPr>
      <w:r>
        <w:rPr>
          <w:rFonts w:cs="Arial" w:ascii="Arial" w:hAnsi="Arial"/>
          <w:sz w:val="24"/>
          <w:szCs w:val="24"/>
          <w:lang w:val="es-ES" w:eastAsia="es-CO"/>
        </w:rPr>
        <w:t>Las evaluaciones orales, en las que la actividad del estudiante consiste únicamente en responder las preguntas formuladas por el profesor y que tengan un valor superior al 15% de la calificación del curso, deberán realizarse en presencia de un profesor adicional, quien también deberá actuar como evaluador.</w:t>
      </w:r>
    </w:p>
    <w:p>
      <w:pPr>
        <w:pStyle w:val="Normal"/>
        <w:jc w:val="both"/>
        <w:rPr>
          <w:rFonts w:ascii="Arial" w:hAnsi="Arial" w:cs="Arial"/>
          <w:sz w:val="24"/>
          <w:szCs w:val="24"/>
          <w:lang w:val="es-ES" w:eastAsia="es-CO"/>
        </w:rPr>
      </w:pPr>
      <w:r>
        <w:rPr>
          <w:rFonts w:cs="Arial" w:ascii="Arial" w:hAnsi="Arial"/>
          <w:sz w:val="24"/>
          <w:szCs w:val="24"/>
          <w:lang w:val="es-ES" w:eastAsia="es-CO"/>
        </w:rPr>
      </w:r>
    </w:p>
    <w:p>
      <w:pPr>
        <w:pStyle w:val="ListParagraph"/>
        <w:numPr>
          <w:ilvl w:val="0"/>
          <w:numId w:val="9"/>
        </w:numPr>
        <w:jc w:val="both"/>
        <w:rPr>
          <w:rFonts w:ascii="Arial" w:hAnsi="Arial" w:eastAsia="Times New Roman" w:cs="Arial"/>
          <w:sz w:val="24"/>
          <w:szCs w:val="24"/>
          <w:lang w:val="en-US" w:eastAsia="es-CO"/>
        </w:rPr>
      </w:pPr>
      <w:r>
        <w:rPr>
          <w:rFonts w:eastAsia="Times New Roman" w:cs="Arial" w:ascii="Arial" w:hAnsi="Arial"/>
          <w:sz w:val="24"/>
          <w:szCs w:val="24"/>
          <w:lang w:val="es-ES" w:eastAsia="es-CO"/>
        </w:rPr>
        <w:t xml:space="preserve">El estudiante que no asista a la presentación de las evaluaciones debidamente programadas, podrá ser calificado hasta con la nota cero (0). El aviso verbal dado por el estudiante inmediatamente antes de la práctica de la evaluación no lo exonera de la presentación de una justificación posterior, la cual deberá ser presentada al profesor correspondiente, dentro de un término no superior a ocho (8) días hábiles siguientes a la fecha en que se practicó la prueba. Si la justificación presentada es aceptada por el profesor, éste fijará fecha, hora y forma en que deberá ser realizada la evaluación correspondiente, pero en todo caso deberá efectuarse dentro de las dos semanas siguientes a la aceptación de la justificación presentada.( </w:t>
      </w:r>
      <w:r>
        <w:rPr>
          <w:rFonts w:eastAsia="Times New Roman" w:cs="Arial" w:ascii="Arial" w:hAnsi="Arial"/>
          <w:sz w:val="24"/>
          <w:szCs w:val="24"/>
          <w:lang w:val="en-US" w:eastAsia="es-CO"/>
        </w:rPr>
        <w:t>Art.57 RGEPr)</w:t>
      </w:r>
    </w:p>
    <w:p>
      <w:pPr>
        <w:pStyle w:val="NoSpacing"/>
        <w:numPr>
          <w:ilvl w:val="0"/>
          <w:numId w:val="9"/>
        </w:numPr>
        <w:jc w:val="both"/>
        <w:rPr>
          <w:rFonts w:ascii="Arial" w:hAnsi="Arial" w:cs="Arial"/>
          <w:sz w:val="24"/>
          <w:szCs w:val="24"/>
        </w:rPr>
      </w:pPr>
      <w:r>
        <w:rPr>
          <w:rFonts w:cs="Arial" w:ascii="Arial" w:hAnsi="Arial"/>
          <w:sz w:val="24"/>
          <w:szCs w:val="24"/>
        </w:rPr>
        <w:t>El valor de cada evaluación practicada sin aviso, en ningún caso, podrá superar el 5% de la nota definitiva del curso.</w:t>
      </w:r>
    </w:p>
    <w:p>
      <w:pPr>
        <w:pStyle w:val="Normal"/>
        <w:rPr>
          <w:rFonts w:ascii="Arial" w:hAnsi="Arial" w:cs="Arial"/>
          <w:sz w:val="24"/>
          <w:szCs w:val="24"/>
          <w:lang w:val="es-ES"/>
        </w:rPr>
      </w:pPr>
      <w:r>
        <w:rPr>
          <w:rFonts w:cs="Arial" w:ascii="Arial" w:hAnsi="Arial"/>
          <w:sz w:val="24"/>
          <w:szCs w:val="24"/>
          <w:lang w:val="es-ES"/>
        </w:rPr>
      </w:r>
    </w:p>
    <w:p>
      <w:pPr>
        <w:pStyle w:val="NoSpacing"/>
        <w:numPr>
          <w:ilvl w:val="0"/>
          <w:numId w:val="9"/>
        </w:numPr>
        <w:jc w:val="both"/>
        <w:rPr>
          <w:rFonts w:ascii="Arial" w:hAnsi="Arial" w:cs="Arial"/>
          <w:sz w:val="24"/>
          <w:szCs w:val="24"/>
        </w:rPr>
      </w:pPr>
      <w:r>
        <w:rPr>
          <w:rFonts w:cs="Arial" w:ascii="Arial" w:hAnsi="Arial"/>
          <w:sz w:val="24"/>
          <w:szCs w:val="24"/>
        </w:rPr>
        <w:t>Los profesores tendrán autonomía para establecer sus propios criterios de aproximación de notas definitivas, pero deberán siempre informarlo en el programa del curso, el primer día de clase.</w:t>
      </w:r>
    </w:p>
    <w:p>
      <w:pPr>
        <w:pStyle w:val="NoSpacing"/>
        <w:rPr>
          <w:rFonts w:ascii="Arial" w:hAnsi="Arial" w:cs="Arial"/>
          <w:sz w:val="24"/>
          <w:szCs w:val="24"/>
        </w:rPr>
      </w:pPr>
      <w:r>
        <w:rPr>
          <w:rFonts w:cs="Arial" w:ascii="Arial" w:hAnsi="Arial"/>
          <w:sz w:val="24"/>
          <w:szCs w:val="24"/>
        </w:rPr>
      </w:r>
    </w:p>
    <w:p>
      <w:pPr>
        <w:pStyle w:val="NoSpacing"/>
        <w:numPr>
          <w:ilvl w:val="0"/>
          <w:numId w:val="9"/>
        </w:numPr>
        <w:jc w:val="both"/>
        <w:rPr>
          <w:rFonts w:ascii="Arial" w:hAnsi="Arial" w:eastAsia="Batang" w:cs="Arial"/>
          <w:sz w:val="24"/>
          <w:szCs w:val="24"/>
        </w:rPr>
      </w:pPr>
      <w:r>
        <w:rPr>
          <w:rFonts w:eastAsia="Batang" w:cs="Arial" w:ascii="Arial" w:hAnsi="Arial"/>
          <w:sz w:val="24"/>
          <w:szCs w:val="24"/>
        </w:rPr>
        <w:t xml:space="preserve">Se recomienda establecer desde un inicio las condiciones para la entrega de informes y trabajos, así como los parámetros para la elaboración las actividades en grupo. También indicar los efectos de la entrega tardía de trabajos y de la no entrega. </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11"/>
        </w:numPr>
        <w:rPr>
          <w:rFonts w:ascii="Arial" w:hAnsi="Arial" w:eastAsia="Batang" w:cs="Arial"/>
          <w:b/>
          <w:b/>
          <w:sz w:val="24"/>
          <w:szCs w:val="24"/>
        </w:rPr>
      </w:pPr>
      <w:r>
        <w:rPr>
          <w:rFonts w:eastAsia="Batang" w:cs="Arial" w:ascii="Arial" w:hAnsi="Arial"/>
          <w:b/>
          <w:sz w:val="24"/>
          <w:szCs w:val="24"/>
        </w:rPr>
        <w:t>Entrega de calificaciones:</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Todos los profesores de la Universidad deben hacer conocer a sus estudiantes las calificaciones obtenidas, dentro de los diez (10) días hábiles siguientes a la práctica de la evaluación parcial. Exceptuando aquellas correspondientes a los proyectos de grado y prácticas académicas (Art. </w:t>
      </w:r>
      <w:r>
        <w:rPr>
          <w:rFonts w:cs="Arial" w:ascii="Arial" w:hAnsi="Arial"/>
          <w:color w:val="4472C4" w:themeColor="accent5"/>
          <w:sz w:val="24"/>
          <w:szCs w:val="24"/>
          <w:lang w:eastAsia="es-CO"/>
        </w:rPr>
        <w:t>68</w:t>
      </w:r>
      <w:r>
        <w:rPr>
          <w:rFonts w:cs="Arial" w:ascii="Arial" w:hAnsi="Arial"/>
          <w:sz w:val="24"/>
          <w:szCs w:val="24"/>
          <w:lang w:eastAsia="es-CO"/>
        </w:rPr>
        <w:t xml:space="preserve">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Al menos el 30% de las calificaciones debe ser dado a conocer a más tardar antes de la semana de retiros de cada semestre (Art. </w:t>
      </w:r>
      <w:r>
        <w:rPr>
          <w:rFonts w:cs="Arial" w:ascii="Arial" w:hAnsi="Arial"/>
          <w:color w:val="4472C4" w:themeColor="accent5"/>
          <w:sz w:val="24"/>
          <w:szCs w:val="24"/>
          <w:lang w:eastAsia="es-CO"/>
        </w:rPr>
        <w:t>69</w:t>
      </w:r>
      <w:r>
        <w:rPr>
          <w:rFonts w:cs="Arial" w:ascii="Arial" w:hAnsi="Arial"/>
          <w:sz w:val="24"/>
          <w:szCs w:val="24"/>
          <w:lang w:eastAsia="es-CO"/>
        </w:rPr>
        <w:t xml:space="preserve">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9"/>
        </w:numPr>
        <w:jc w:val="both"/>
        <w:rPr>
          <w:rFonts w:ascii="Arial" w:hAnsi="Arial" w:cs="Arial"/>
          <w:sz w:val="24"/>
          <w:szCs w:val="24"/>
          <w:lang w:eastAsia="es-CO"/>
        </w:rPr>
      </w:pPr>
      <w:r>
        <w:rPr>
          <w:rFonts w:cs="Arial" w:ascii="Arial" w:hAnsi="Arial"/>
          <w:sz w:val="24"/>
          <w:szCs w:val="24"/>
          <w:lang w:eastAsia="es-CO"/>
        </w:rPr>
        <w:t xml:space="preserve">Antes del examen final, el estudiante tiene el derecho a conocer las calificaciones parciales obtenidas durante el semestre y podrá solicitarlas al profesor (Art. </w:t>
      </w:r>
      <w:r>
        <w:rPr>
          <w:rFonts w:cs="Arial" w:ascii="Arial" w:hAnsi="Arial"/>
          <w:color w:val="4472C4" w:themeColor="accent5"/>
          <w:sz w:val="24"/>
          <w:szCs w:val="24"/>
          <w:lang w:eastAsia="es-CO"/>
        </w:rPr>
        <w:t>70</w:t>
      </w:r>
      <w:r>
        <w:rPr>
          <w:rFonts w:cs="Arial" w:ascii="Arial" w:hAnsi="Arial"/>
          <w:sz w:val="24"/>
          <w:szCs w:val="24"/>
          <w:lang w:eastAsia="es-CO"/>
        </w:rPr>
        <w:t xml:space="preserve"> RGEPr).</w:t>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r>
        <w:rPr>
          <w:rFonts w:eastAsia="Batang" w:cs="Arial" w:ascii="Arial" w:hAnsi="Arial"/>
          <w:sz w:val="24"/>
          <w:szCs w:val="24"/>
        </w:rPr>
      </w:r>
    </w:p>
    <w:p>
      <w:pPr>
        <w:pStyle w:val="NoSpacing"/>
        <w:rPr>
          <w:rFonts w:ascii="Arial" w:hAnsi="Arial" w:eastAsia="Batang" w:cs="Arial"/>
          <w:sz w:val="24"/>
          <w:szCs w:val="24"/>
        </w:rPr>
      </w:pPr>
      <w:r>
        <w:rPr>
          <w:rFonts w:eastAsia="Batang" w:cs="Arial" w:ascii="Arial" w:hAnsi="Arial"/>
          <w:sz w:val="24"/>
          <w:szCs w:val="24"/>
        </w:rPr>
      </w:r>
    </w:p>
    <w:p>
      <w:pPr>
        <w:pStyle w:val="Normal"/>
        <w:numPr>
          <w:ilvl w:val="0"/>
          <w:numId w:val="11"/>
        </w:numPr>
        <w:textAlignment w:val="auto"/>
        <w:rPr>
          <w:rFonts w:ascii="Arial" w:hAnsi="Arial" w:cs="Arial"/>
          <w:b/>
          <w:b/>
          <w:sz w:val="24"/>
          <w:szCs w:val="24"/>
        </w:rPr>
      </w:pPr>
      <w:r>
        <w:rPr>
          <w:rFonts w:cs="Arial" w:ascii="Arial" w:hAnsi="Arial"/>
          <w:b/>
          <w:sz w:val="24"/>
          <w:szCs w:val="24"/>
        </w:rPr>
        <w:t>Notas especiales:</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9"/>
        </w:numPr>
        <w:jc w:val="both"/>
        <w:rPr>
          <w:rFonts w:ascii="Arial" w:hAnsi="Arial" w:eastAsia="Batang" w:cs="Arial"/>
          <w:sz w:val="24"/>
          <w:szCs w:val="24"/>
        </w:rPr>
      </w:pPr>
      <w:r>
        <w:rPr>
          <w:rFonts w:eastAsia="Batang" w:cs="Arial" w:ascii="Arial" w:hAnsi="Arial"/>
          <w:i/>
          <w:sz w:val="24"/>
          <w:szCs w:val="24"/>
        </w:rPr>
        <w:t>Incompleto (I)</w:t>
      </w:r>
      <w:r>
        <w:rPr>
          <w:rFonts w:eastAsia="Batang" w:cs="Arial" w:ascii="Arial" w:hAnsi="Arial"/>
          <w:sz w:val="24"/>
          <w:szCs w:val="24"/>
        </w:rPr>
        <w:t xml:space="preserve">: nota aplicada por el Consejo de Facultad cuando el alumno no haya podido cumplir por razones justificadas, con los requisitos del curso (Art. </w:t>
      </w:r>
      <w:r>
        <w:rPr>
          <w:rFonts w:eastAsia="Batang" w:cs="Arial" w:ascii="Arial" w:hAnsi="Arial"/>
          <w:color w:val="4472C4" w:themeColor="accent5"/>
          <w:sz w:val="24"/>
          <w:szCs w:val="24"/>
        </w:rPr>
        <w:t>57</w:t>
      </w:r>
      <w:r>
        <w:rPr>
          <w:rFonts w:eastAsia="Batang" w:cs="Arial" w:ascii="Arial" w:hAnsi="Arial"/>
          <w:sz w:val="24"/>
          <w:szCs w:val="24"/>
        </w:rPr>
        <w:t xml:space="preserve">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Incompleto Total (IT)</w:t>
      </w:r>
      <w:r>
        <w:rPr>
          <w:rFonts w:eastAsia="Batang" w:cs="Arial" w:ascii="Arial" w:hAnsi="Arial"/>
          <w:sz w:val="24"/>
          <w:szCs w:val="24"/>
        </w:rPr>
        <w:t xml:space="preserve">: nota aplicada por el Consejo de Facultad cuando el alumno no haya podido cumplir por razones justificadas, con los requisitos de todos los cursos del periodo académico en el cual se encuentra matriculado (Art. </w:t>
      </w:r>
      <w:r>
        <w:rPr>
          <w:rFonts w:eastAsia="Batang" w:cs="Arial" w:ascii="Arial" w:hAnsi="Arial"/>
          <w:color w:val="4472C4" w:themeColor="accent5"/>
          <w:sz w:val="24"/>
          <w:szCs w:val="24"/>
        </w:rPr>
        <w:t>58</w:t>
      </w:r>
      <w:r>
        <w:rPr>
          <w:rFonts w:eastAsia="Batang" w:cs="Arial" w:ascii="Arial" w:hAnsi="Arial"/>
          <w:sz w:val="24"/>
          <w:szCs w:val="24"/>
        </w:rPr>
        <w:t xml:space="preserve"> RGEPr).</w:t>
      </w:r>
    </w:p>
    <w:p>
      <w:pPr>
        <w:pStyle w:val="NoSpacing"/>
        <w:jc w:val="both"/>
        <w:rPr>
          <w:rFonts w:ascii="Arial" w:hAnsi="Arial" w:eastAsia="Batang" w:cs="Arial"/>
          <w:sz w:val="24"/>
          <w:szCs w:val="24"/>
        </w:rPr>
      </w:pPr>
      <w:r>
        <w:rPr>
          <w:rFonts w:eastAsia="Batang" w:cs="Arial" w:ascii="Arial" w:hAnsi="Arial"/>
          <w:sz w:val="24"/>
          <w:szCs w:val="24"/>
        </w:rPr>
      </w:r>
    </w:p>
    <w:p>
      <w:pPr>
        <w:pStyle w:val="Normal"/>
        <w:numPr>
          <w:ilvl w:val="0"/>
          <w:numId w:val="12"/>
        </w:numPr>
        <w:ind w:left="1069" w:hanging="360"/>
        <w:jc w:val="both"/>
        <w:textAlignment w:val="auto"/>
        <w:rPr>
          <w:rFonts w:ascii="Arial" w:hAnsi="Arial" w:eastAsia="Batang" w:cs="Arial"/>
          <w:color w:val="4472C4" w:themeColor="accent5"/>
          <w:sz w:val="24"/>
          <w:szCs w:val="24"/>
          <w:lang w:val="es-ES"/>
        </w:rPr>
      </w:pPr>
      <w:r>
        <w:rPr>
          <w:rFonts w:eastAsia="Batang" w:cs="Arial" w:ascii="Arial" w:hAnsi="Arial"/>
          <w:i/>
          <w:sz w:val="24"/>
          <w:szCs w:val="24"/>
          <w:lang w:val="es-ES"/>
        </w:rPr>
        <w:t>Pendiente (P)</w:t>
      </w:r>
      <w:r>
        <w:rPr>
          <w:rFonts w:eastAsia="Batang" w:cs="Arial" w:ascii="Arial" w:hAnsi="Arial"/>
          <w:sz w:val="24"/>
          <w:szCs w:val="24"/>
          <w:lang w:val="es-ES"/>
        </w:rPr>
        <w:t>: nota aplicada por el profesor cuando al estudiante por casos de fuerza mayor, para cumplir con los requisitos del curso, solo le reste la presentación de una prueba final o no pueda asignársele una calificación antes del plazo definido</w:t>
      </w:r>
      <w:r>
        <w:rPr>
          <w:rFonts w:eastAsia="Batang" w:cs="Calibri"/>
          <w:lang w:val="es-ES"/>
        </w:rPr>
        <w:t xml:space="preserve"> . </w:t>
      </w:r>
      <w:r>
        <w:rPr>
          <w:rFonts w:cs="Arial" w:ascii="Arial" w:hAnsi="Arial"/>
          <w:color w:val="4472C4" w:themeColor="accent5"/>
          <w:sz w:val="24"/>
          <w:szCs w:val="24"/>
          <w:lang w:val="es-ES"/>
        </w:rPr>
        <w:t>La nota ‘P’ deberá reemplazarse a más tardar un mes después de terminado el semestre académico o quince (15) días después de ter</w:t>
        <w:softHyphen/>
        <w:t>minado el periodo intersemestral</w:t>
      </w:r>
      <w:r>
        <w:rPr>
          <w:rFonts w:eastAsia="Batang" w:cs="Arial" w:ascii="Arial" w:hAnsi="Arial"/>
          <w:color w:val="4472C4" w:themeColor="accent5"/>
          <w:sz w:val="24"/>
          <w:szCs w:val="24"/>
          <w:lang w:val="es-ES"/>
        </w:rPr>
        <w:t xml:space="preserve"> (Art. 59 y Art. 60 RGEPr).</w:t>
      </w:r>
    </w:p>
    <w:p>
      <w:pPr>
        <w:pStyle w:val="NoSpacing"/>
        <w:numPr>
          <w:ilvl w:val="0"/>
          <w:numId w:val="12"/>
        </w:numPr>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Pendiente Disciplinario (PD)</w:t>
      </w:r>
      <w:r>
        <w:rPr>
          <w:rFonts w:eastAsia="Batang" w:cs="Arial" w:ascii="Arial" w:hAnsi="Arial"/>
          <w:sz w:val="24"/>
          <w:szCs w:val="24"/>
        </w:rPr>
        <w:t xml:space="preserve">: nota aplicada por el profesor al estudiante que se encuentre vinculado a un proceso disciplinario. Esa nota será reemplazada una vez culmine definitivamente el proceso (Art. </w:t>
      </w:r>
      <w:r>
        <w:rPr>
          <w:rFonts w:eastAsia="Batang" w:cs="Arial" w:ascii="Arial" w:hAnsi="Arial"/>
          <w:color w:val="4472C4" w:themeColor="accent5"/>
          <w:sz w:val="24"/>
          <w:szCs w:val="24"/>
        </w:rPr>
        <w:t>61</w:t>
      </w:r>
      <w:r>
        <w:rPr>
          <w:rFonts w:eastAsia="Batang" w:cs="Arial" w:ascii="Arial" w:hAnsi="Arial"/>
          <w:sz w:val="24"/>
          <w:szCs w:val="24"/>
        </w:rPr>
        <w:t xml:space="preserve"> y parágrafo 1 Art. </w:t>
      </w:r>
      <w:r>
        <w:rPr>
          <w:rFonts w:eastAsia="Batang" w:cs="Arial" w:ascii="Arial" w:hAnsi="Arial"/>
          <w:color w:val="4472C4" w:themeColor="accent5"/>
          <w:sz w:val="24"/>
          <w:szCs w:val="24"/>
        </w:rPr>
        <w:t xml:space="preserve">115 </w:t>
      </w:r>
      <w:r>
        <w:rPr>
          <w:rFonts w:eastAsia="Batang" w:cs="Arial" w:ascii="Arial" w:hAnsi="Arial"/>
          <w:sz w:val="24"/>
          <w:szCs w:val="24"/>
        </w:rPr>
        <w:t>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12"/>
        </w:numPr>
        <w:jc w:val="both"/>
        <w:rPr>
          <w:rFonts w:ascii="Arial" w:hAnsi="Arial" w:eastAsia="Batang" w:cs="Arial"/>
          <w:sz w:val="24"/>
          <w:szCs w:val="24"/>
        </w:rPr>
      </w:pPr>
      <w:r>
        <w:rPr>
          <w:rFonts w:eastAsia="Batang" w:cs="Arial" w:ascii="Arial" w:hAnsi="Arial"/>
          <w:i/>
          <w:sz w:val="24"/>
          <w:szCs w:val="24"/>
        </w:rPr>
        <w:t>Pendiente Especial (PE)</w:t>
      </w:r>
      <w:r>
        <w:rPr>
          <w:rFonts w:eastAsia="Batang" w:cs="Arial" w:ascii="Arial" w:hAnsi="Arial"/>
          <w:sz w:val="24"/>
          <w:szCs w:val="24"/>
        </w:rPr>
        <w:t>: nota excepcional aplicable a aquellos estudiantes que se encuentren desarrollando su correspondiente proyecto de grado y no ha sido concluido, por razones justificadas, dentro del semestre inicialmente establecido (Art. 61 RGEPr).</w:t>
      </w:r>
    </w:p>
    <w:p>
      <w:pPr>
        <w:pStyle w:val="Normal"/>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0"/>
        </w:numPr>
        <w:jc w:val="both"/>
        <w:textAlignment w:val="auto"/>
        <w:rPr>
          <w:rFonts w:ascii="Arial" w:hAnsi="Arial" w:eastAsia="Batang" w:cs="Arial"/>
          <w:b/>
          <w:b/>
          <w:bCs/>
          <w:sz w:val="24"/>
          <w:szCs w:val="24"/>
        </w:rPr>
      </w:pPr>
      <w:r>
        <w:rPr>
          <w:rFonts w:eastAsia="Batang" w:cs="Arial" w:ascii="Arial" w:hAnsi="Arial"/>
          <w:b/>
          <w:bCs/>
          <w:sz w:val="24"/>
          <w:szCs w:val="24"/>
        </w:rPr>
        <w:t>Reclamos:</w:t>
      </w:r>
    </w:p>
    <w:p>
      <w:pPr>
        <w:pStyle w:val="Normal"/>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sz w:val="24"/>
          <w:szCs w:val="24"/>
        </w:rPr>
        <w:t xml:space="preserve">Si se trata de </w:t>
      </w:r>
      <w:r>
        <w:rPr>
          <w:rFonts w:eastAsia="Batang" w:cs="Arial" w:ascii="Arial" w:hAnsi="Arial"/>
          <w:bCs/>
          <w:sz w:val="24"/>
          <w:szCs w:val="24"/>
        </w:rPr>
        <w:t>una prueba escrita,</w:t>
      </w:r>
      <w:r>
        <w:rPr>
          <w:rFonts w:eastAsia="Batang" w:cs="Arial" w:ascii="Arial" w:hAnsi="Arial"/>
          <w:b/>
          <w:bCs/>
          <w:sz w:val="24"/>
          <w:szCs w:val="24"/>
        </w:rPr>
        <w:t xml:space="preserve"> </w:t>
      </w:r>
      <w:r>
        <w:rPr>
          <w:rFonts w:eastAsia="Batang" w:cs="Arial" w:ascii="Arial" w:hAnsi="Arial"/>
          <w:sz w:val="24"/>
          <w:szCs w:val="24"/>
        </w:rPr>
        <w:t xml:space="preserve">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w:t>
      </w:r>
      <w:r>
        <w:rPr>
          <w:rFonts w:eastAsia="Batang" w:cs="Arial" w:ascii="Arial" w:hAnsi="Arial"/>
          <w:color w:val="4472C4" w:themeColor="accent5"/>
          <w:sz w:val="24"/>
          <w:szCs w:val="24"/>
        </w:rPr>
        <w:t>64</w:t>
      </w:r>
      <w:r>
        <w:rPr>
          <w:rFonts w:eastAsia="Batang" w:cs="Arial" w:ascii="Arial" w:hAnsi="Arial"/>
          <w:sz w:val="24"/>
          <w:szCs w:val="24"/>
        </w:rPr>
        <w:t xml:space="preserve"> y </w:t>
      </w:r>
      <w:r>
        <w:rPr>
          <w:rFonts w:eastAsia="Batang" w:cs="Arial" w:ascii="Arial" w:hAnsi="Arial"/>
          <w:color w:val="4472C4" w:themeColor="accent5"/>
          <w:sz w:val="24"/>
          <w:szCs w:val="24"/>
        </w:rPr>
        <w:t>65</w:t>
      </w:r>
      <w:r>
        <w:rPr>
          <w:rFonts w:eastAsia="Batang" w:cs="Arial" w:ascii="Arial" w:hAnsi="Arial"/>
          <w:sz w:val="24"/>
          <w:szCs w:val="24"/>
        </w:rPr>
        <w:t xml:space="preserve">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En caso de reclamo por una calificación obtenida en una prueba oral,</w:t>
      </w:r>
      <w:r>
        <w:rPr>
          <w:rFonts w:eastAsia="Batang" w:cs="Arial" w:ascii="Arial" w:hAnsi="Arial"/>
          <w:b/>
          <w:bCs/>
          <w:sz w:val="24"/>
          <w:szCs w:val="24"/>
        </w:rPr>
        <w:t xml:space="preserve"> </w:t>
      </w:r>
      <w:r>
        <w:rPr>
          <w:rFonts w:eastAsia="Batang" w:cs="Arial" w:ascii="Arial" w:hAnsi="Arial"/>
          <w:sz w:val="24"/>
          <w:szCs w:val="24"/>
        </w:rPr>
        <w:t xml:space="preserve">el estudiante podrá exponer la razón de su desacuerdo a los profesores evaluadores en el mismo momento en que tiene conocimiento de la nota. Si el grupo evaluador mantiene la calificación, la realización de un nuevo examen quedará a discreción del Consejo de Facultad al que pertenece la materia, previa solicitud escrita del estudiante (Art. </w:t>
      </w:r>
      <w:r>
        <w:rPr>
          <w:rFonts w:eastAsia="Batang" w:cs="Arial" w:ascii="Arial" w:hAnsi="Arial"/>
          <w:color w:val="4472C4" w:themeColor="accent5"/>
          <w:sz w:val="24"/>
          <w:szCs w:val="24"/>
        </w:rPr>
        <w:t>66</w:t>
      </w:r>
      <w:r>
        <w:rPr>
          <w:rFonts w:eastAsia="Batang" w:cs="Arial" w:ascii="Arial" w:hAnsi="Arial"/>
          <w:sz w:val="24"/>
          <w:szCs w:val="24"/>
        </w:rPr>
        <w:t xml:space="preserve">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numPr>
          <w:ilvl w:val="0"/>
          <w:numId w:val="10"/>
        </w:numPr>
        <w:overflowPunct w:val="false"/>
        <w:jc w:val="both"/>
        <w:rPr>
          <w:rFonts w:ascii="Arial" w:hAnsi="Arial" w:eastAsia="Batang" w:cs="Arial"/>
          <w:b/>
          <w:b/>
          <w:bCs/>
          <w:sz w:val="24"/>
          <w:szCs w:val="24"/>
        </w:rPr>
      </w:pPr>
      <w:r>
        <w:rPr>
          <w:rFonts w:eastAsia="Batang" w:cs="Arial" w:ascii="Arial" w:hAnsi="Arial"/>
          <w:b/>
          <w:bCs/>
          <w:sz w:val="24"/>
          <w:szCs w:val="24"/>
        </w:rPr>
        <w:t>Cambio de notas definitivas:</w:t>
      </w:r>
    </w:p>
    <w:p>
      <w:pPr>
        <w:pStyle w:val="Footer"/>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bCs/>
          <w:sz w:val="24"/>
          <w:szCs w:val="24"/>
        </w:rPr>
        <w:t>Vencido el plazo previsto para el cambio notas derivadas de los reclamos presentados, estos solo podrán realizarse con la autorización del c</w:t>
      </w:r>
      <w:r>
        <w:rPr>
          <w:rFonts w:eastAsia="Batang" w:cs="Arial" w:ascii="Arial" w:hAnsi="Arial"/>
          <w:sz w:val="24"/>
          <w:szCs w:val="24"/>
        </w:rPr>
        <w:t xml:space="preserve">oordinador de pregrado del programa al que pertenece la materia (Art. </w:t>
      </w:r>
      <w:r>
        <w:rPr>
          <w:rFonts w:eastAsia="Batang" w:cs="Arial" w:ascii="Arial" w:hAnsi="Arial"/>
          <w:color w:val="4472C4" w:themeColor="accent5"/>
          <w:sz w:val="24"/>
          <w:szCs w:val="24"/>
        </w:rPr>
        <w:t>65</w:t>
      </w:r>
      <w:r>
        <w:rPr>
          <w:rFonts w:eastAsia="Batang" w:cs="Arial" w:ascii="Arial" w:hAnsi="Arial"/>
          <w:sz w:val="24"/>
          <w:szCs w:val="24"/>
        </w:rPr>
        <w:t xml:space="preserve"> RGEPr).</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10"/>
        </w:numPr>
        <w:jc w:val="both"/>
        <w:textAlignment w:val="auto"/>
        <w:rPr>
          <w:rFonts w:ascii="Arial" w:hAnsi="Arial" w:eastAsia="Batang" w:cs="Arial"/>
          <w:b/>
          <w:b/>
          <w:bCs/>
          <w:sz w:val="24"/>
          <w:szCs w:val="24"/>
        </w:rPr>
      </w:pPr>
      <w:r>
        <w:rPr>
          <w:rFonts w:eastAsia="Batang" w:cs="Arial" w:ascii="Arial" w:hAnsi="Arial"/>
          <w:b/>
          <w:sz w:val="24"/>
          <w:szCs w:val="24"/>
        </w:rPr>
        <w:t>Funciones del monitor:</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Cs/>
          <w:sz w:val="24"/>
          <w:szCs w:val="24"/>
        </w:rPr>
      </w:pPr>
      <w:r>
        <w:rPr>
          <w:rFonts w:eastAsia="Batang" w:cs="Arial" w:ascii="Arial" w:hAnsi="Arial"/>
          <w:bCs/>
          <w:sz w:val="24"/>
          <w:szCs w:val="24"/>
        </w:rPr>
        <w:t xml:space="preserve">La principal función del monitor es la de ayudar al profesor en la dirección de las actividades académicas (laboratorios, sesiones de repaso o de ejercicios, asesoría a estudiantes). Así mismo, apoyarlo en la corrección de ejercicios y pruebas. La calificación definitiva de las pruebas será responsabilidad exclusiva del profesor. </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numPr>
          <w:ilvl w:val="0"/>
          <w:numId w:val="10"/>
        </w:numPr>
        <w:overflowPunct w:val="false"/>
        <w:rPr>
          <w:rFonts w:ascii="Arial" w:hAnsi="Arial" w:eastAsia="Batang" w:cs="Arial"/>
          <w:b/>
          <w:b/>
          <w:sz w:val="24"/>
          <w:szCs w:val="24"/>
        </w:rPr>
      </w:pPr>
      <w:r>
        <w:rPr>
          <w:rFonts w:eastAsia="Batang" w:cs="Arial" w:ascii="Arial" w:hAnsi="Arial"/>
          <w:b/>
          <w:sz w:val="24"/>
          <w:szCs w:val="24"/>
        </w:rPr>
        <w:t>Reporte de casos disciplinarios:</w:t>
      </w:r>
    </w:p>
    <w:p>
      <w:pPr>
        <w:pStyle w:val="Footer"/>
        <w:rPr>
          <w:rFonts w:ascii="Arial" w:hAnsi="Arial" w:eastAsia="Batang" w:cs="Arial"/>
          <w:b/>
          <w:b/>
          <w:sz w:val="24"/>
          <w:szCs w:val="24"/>
        </w:rPr>
      </w:pPr>
      <w:r>
        <w:rPr>
          <w:rFonts w:eastAsia="Batang" w:cs="Arial" w:ascii="Arial" w:hAnsi="Arial"/>
          <w:b/>
          <w:sz w:val="24"/>
          <w:szCs w:val="24"/>
        </w:rPr>
      </w:r>
    </w:p>
    <w:p>
      <w:pPr>
        <w:pStyle w:val="Normal"/>
        <w:jc w:val="both"/>
        <w:rPr>
          <w:rFonts w:ascii="Arial" w:hAnsi="Arial" w:eastAsia="Batang" w:cs="Arial"/>
          <w:sz w:val="24"/>
          <w:szCs w:val="24"/>
          <w:lang w:val="es-ES"/>
        </w:rPr>
      </w:pPr>
      <w:r>
        <w:rPr>
          <w:rFonts w:eastAsia="Batang" w:cs="Arial" w:ascii="Arial" w:hAnsi="Arial"/>
          <w:sz w:val="24"/>
          <w:szCs w:val="24"/>
          <w:lang w:val="es-ES"/>
        </w:rPr>
        <w:t xml:space="preserve">Ante la sospecha de una presunta comisión de fraude académico (Art. </w:t>
      </w:r>
      <w:r>
        <w:rPr>
          <w:rFonts w:eastAsia="Batang" w:cs="Arial" w:ascii="Arial" w:hAnsi="Arial"/>
          <w:color w:val="4472C4" w:themeColor="accent5"/>
          <w:sz w:val="24"/>
          <w:szCs w:val="24"/>
          <w:lang w:val="es-ES"/>
        </w:rPr>
        <w:t>115</w:t>
      </w:r>
      <w:r>
        <w:rPr>
          <w:rFonts w:eastAsia="Batang" w:cs="Arial" w:ascii="Arial" w:hAnsi="Arial"/>
          <w:sz w:val="24"/>
          <w:szCs w:val="24"/>
          <w:lang w:val="es-ES"/>
        </w:rPr>
        <w:t xml:space="preserve"> RGEPr) o de una falta disciplinaria (Art. </w:t>
      </w:r>
      <w:r>
        <w:rPr>
          <w:rFonts w:eastAsia="Batang" w:cs="Arial" w:ascii="Arial" w:hAnsi="Arial"/>
          <w:color w:val="4472C4" w:themeColor="accent5"/>
          <w:sz w:val="24"/>
          <w:szCs w:val="24"/>
          <w:lang w:val="es-ES"/>
        </w:rPr>
        <w:t>116</w:t>
      </w:r>
      <w:r>
        <w:rPr>
          <w:rFonts w:eastAsia="Batang" w:cs="Arial" w:ascii="Arial" w:hAnsi="Arial"/>
          <w:sz w:val="24"/>
          <w:szCs w:val="24"/>
          <w:lang w:val="es-ES"/>
        </w:rPr>
        <w:t xml:space="preserve"> y </w:t>
      </w:r>
      <w:r>
        <w:rPr>
          <w:rFonts w:eastAsia="Batang" w:cs="Arial" w:ascii="Arial" w:hAnsi="Arial"/>
          <w:color w:val="4472C4" w:themeColor="accent5"/>
          <w:sz w:val="24"/>
          <w:szCs w:val="24"/>
          <w:lang w:val="es-ES"/>
        </w:rPr>
        <w:t>117</w:t>
      </w:r>
      <w:r>
        <w:rPr>
          <w:rFonts w:eastAsia="Batang" w:cs="Arial" w:ascii="Arial" w:hAnsi="Arial"/>
          <w:sz w:val="24"/>
          <w:szCs w:val="24"/>
          <w:lang w:val="es-ES"/>
        </w:rPr>
        <w:t xml:space="preserve"> RGEPr) por parte de uno de sus estudiantes o de cualquier miembro de la comunidad uniandina, los profesores deberán tener en cuenta:</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eastAsia="Batang" w:cs="Arial" w:ascii="Arial" w:hAnsi="Arial"/>
          <w:sz w:val="24"/>
          <w:szCs w:val="24"/>
          <w:lang w:val="es-ES"/>
        </w:rPr>
        <w:t xml:space="preserve">Es su deber informar a la Secretaría del Comité Disciplinario de la unidad académica a la que pertenezca la materia o en la que esté inscrito el estudiante, según corresponda, explicando los hechos que fundamentan su consideración y adjuntando las pruebas correspondientes (Art. </w:t>
      </w:r>
      <w:r>
        <w:rPr>
          <w:rFonts w:eastAsia="Batang" w:cs="Arial" w:ascii="Arial" w:hAnsi="Arial"/>
          <w:color w:val="4472C4" w:themeColor="accent5"/>
          <w:sz w:val="24"/>
          <w:szCs w:val="24"/>
          <w:lang w:val="es-ES"/>
        </w:rPr>
        <w:t>129</w:t>
      </w:r>
      <w:r>
        <w:rPr>
          <w:rFonts w:eastAsia="Batang" w:cs="Arial" w:ascii="Arial" w:hAnsi="Arial"/>
          <w:sz w:val="24"/>
          <w:szCs w:val="24"/>
          <w:lang w:val="es-ES"/>
        </w:rPr>
        <w:t xml:space="preserve"> RGEPr).</w:t>
      </w:r>
    </w:p>
    <w:p>
      <w:pPr>
        <w:pStyle w:val="Normal"/>
        <w:ind w:left="720" w:hanging="0"/>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eastAsia="Batang" w:cs="Arial" w:ascii="Arial" w:hAnsi="Arial"/>
          <w:sz w:val="24"/>
          <w:szCs w:val="24"/>
          <w:lang w:val="es-ES"/>
        </w:rPr>
        <w:t xml:space="preserve">A través de un proceso disciplinario el estudiante tendrá la oportunidad formal de presentar su versión sobre los hechos y pronunciarse sobre las decisiones que tomé el Comité (Art. </w:t>
      </w:r>
      <w:r>
        <w:rPr>
          <w:rFonts w:eastAsia="Batang" w:cs="Arial" w:ascii="Arial" w:hAnsi="Arial"/>
          <w:color w:val="4472C4" w:themeColor="accent5"/>
          <w:sz w:val="24"/>
          <w:szCs w:val="24"/>
          <w:lang w:val="es-ES"/>
        </w:rPr>
        <w:t xml:space="preserve">129-146 </w:t>
      </w:r>
      <w:r>
        <w:rPr>
          <w:rFonts w:eastAsia="Batang" w:cs="Arial" w:ascii="Arial" w:hAnsi="Arial"/>
          <w:sz w:val="24"/>
          <w:szCs w:val="24"/>
          <w:lang w:val="es-ES"/>
        </w:rPr>
        <w:t>RGEPr).</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cs="Arial" w:ascii="Arial" w:hAnsi="Arial"/>
          <w:sz w:val="24"/>
          <w:szCs w:val="24"/>
          <w:lang w:val="es-ES"/>
        </w:rPr>
        <w:t xml:space="preserve">El profesor tiene discreción para hablar con los estudiantes implicados antes de reportar el caso al comité, para informarles al respecto. </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Normal"/>
        <w:numPr>
          <w:ilvl w:val="0"/>
          <w:numId w:val="12"/>
        </w:numPr>
        <w:jc w:val="both"/>
        <w:textAlignment w:val="auto"/>
        <w:rPr>
          <w:rFonts w:ascii="Arial" w:hAnsi="Arial" w:eastAsia="Batang" w:cs="Arial"/>
          <w:sz w:val="24"/>
          <w:szCs w:val="24"/>
          <w:lang w:val="es-ES"/>
        </w:rPr>
      </w:pPr>
      <w:r>
        <w:rPr>
          <w:rFonts w:cs="Arial" w:ascii="Arial" w:hAnsi="Arial"/>
          <w:sz w:val="24"/>
          <w:szCs w:val="24"/>
          <w:lang w:val="es-ES"/>
        </w:rPr>
        <w:t>Durante el proceso disciplinario el profesor podrá ser consultado si el Comité lo considera, pero no será parte formal del proceso.</w:t>
      </w:r>
    </w:p>
    <w:p>
      <w:pPr>
        <w:pStyle w:val="Normal"/>
        <w:jc w:val="both"/>
        <w:rPr>
          <w:rFonts w:ascii="Arial" w:hAnsi="Arial" w:eastAsia="Batang" w:cs="Arial"/>
          <w:sz w:val="24"/>
          <w:szCs w:val="24"/>
          <w:lang w:val="es-ES"/>
        </w:rPr>
      </w:pPr>
      <w:r>
        <w:rPr>
          <w:rFonts w:eastAsia="Batang"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A menos que el estudiante acepte su responsabilidad, el profesor no puede afirmar que cometió una falta disciplinaria. En cualquier conversación con un estudiante que presuntamente haya cometido la falta, el profesor debe ser cuidadoso. La existencia del fraude o de una falta disciplinaria solamente la puede determinar el Comité, después de haberse cumplido el proceso contemplado en los distintos reglamentos de estudiantes de la Universidad. </w:t>
      </w:r>
    </w:p>
    <w:p>
      <w:pPr>
        <w:pStyle w:val="Normal"/>
        <w:spacing w:before="0" w:after="0"/>
        <w:contextualSpacing/>
        <w:jc w:val="both"/>
        <w:rPr>
          <w:rFonts w:ascii="Arial" w:hAnsi="Arial" w:cs="Arial"/>
          <w:sz w:val="24"/>
          <w:szCs w:val="24"/>
          <w:lang w:val="es-ES"/>
        </w:rPr>
      </w:pPr>
      <w:r>
        <w:rPr>
          <w:rFonts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La actividad académica en la que se presuma la comisión de un fraude académico, deberá ser calificada con Pendiente Disciplinario (PD), (Art. </w:t>
      </w:r>
      <w:r>
        <w:rPr>
          <w:rFonts w:cs="Arial" w:ascii="Arial" w:hAnsi="Arial"/>
          <w:color w:val="4472C4" w:themeColor="accent5"/>
          <w:sz w:val="24"/>
          <w:szCs w:val="24"/>
        </w:rPr>
        <w:t>61</w:t>
      </w:r>
      <w:r>
        <w:rPr>
          <w:rFonts w:cs="Arial" w:ascii="Arial" w:hAnsi="Arial"/>
          <w:sz w:val="24"/>
          <w:szCs w:val="24"/>
        </w:rPr>
        <w:t xml:space="preserve"> RGEPr). Es indispensable poner el Pendiente Disciplinario pues esta nota es una garantía del respeto por la presunción de inocencia del estudiante.</w:t>
      </w:r>
    </w:p>
    <w:p>
      <w:pPr>
        <w:pStyle w:val="Normal"/>
        <w:spacing w:before="0" w:after="0"/>
        <w:contextualSpacing/>
        <w:jc w:val="both"/>
        <w:rPr>
          <w:rFonts w:ascii="Arial" w:hAnsi="Arial" w:cs="Arial"/>
          <w:sz w:val="24"/>
          <w:szCs w:val="24"/>
          <w:lang w:val="es-ES"/>
        </w:rPr>
      </w:pPr>
      <w:r>
        <w:rPr>
          <w:rFonts w:cs="Arial" w:ascii="Arial" w:hAnsi="Arial"/>
          <w:sz w:val="24"/>
          <w:szCs w:val="24"/>
          <w:lang w:val="es-ES"/>
        </w:rPr>
      </w:r>
    </w:p>
    <w:p>
      <w:pPr>
        <w:pStyle w:val="ListParagraph"/>
        <w:numPr>
          <w:ilvl w:val="0"/>
          <w:numId w:val="12"/>
        </w:numPr>
        <w:overflowPunct w:val="false"/>
        <w:spacing w:lineRule="auto" w:line="240" w:before="0" w:after="0"/>
        <w:contextualSpacing/>
        <w:jc w:val="both"/>
        <w:rPr>
          <w:rFonts w:ascii="Arial" w:hAnsi="Arial" w:cs="Arial"/>
          <w:sz w:val="24"/>
          <w:szCs w:val="24"/>
        </w:rPr>
      </w:pPr>
      <w:r>
        <w:rPr>
          <w:rFonts w:cs="Arial" w:ascii="Arial" w:hAnsi="Arial"/>
          <w:sz w:val="24"/>
          <w:szCs w:val="24"/>
        </w:rPr>
        <w:t xml:space="preserve">Una vez el profesor reciba copia de la carta por medio de la cual se le notifica al estudiante la culminación del proceso disciplinario, deberá levantar el PD y asignar la nota correspondiente a la actividad académica (parágrafo 1 Art. </w:t>
      </w:r>
      <w:r>
        <w:rPr>
          <w:rFonts w:cs="Arial" w:ascii="Arial" w:hAnsi="Arial"/>
          <w:color w:val="4472C4" w:themeColor="accent5"/>
          <w:sz w:val="24"/>
          <w:szCs w:val="24"/>
        </w:rPr>
        <w:t>129?</w:t>
      </w:r>
      <w:r>
        <w:rPr>
          <w:rFonts w:cs="Arial" w:ascii="Arial" w:hAnsi="Arial"/>
          <w:sz w:val="24"/>
          <w:szCs w:val="24"/>
        </w:rPr>
        <w:t xml:space="preserve"> RGEPr).</w:t>
      </w:r>
    </w:p>
    <w:p>
      <w:pPr>
        <w:pStyle w:val="ListParagraph"/>
        <w:spacing w:lineRule="auto" w:line="240" w:before="0" w:after="0"/>
        <w:jc w:val="both"/>
        <w:rPr>
          <w:rFonts w:ascii="Arial" w:hAnsi="Arial" w:cs="Arial"/>
          <w:sz w:val="24"/>
          <w:szCs w:val="24"/>
        </w:rPr>
      </w:pPr>
      <w:r>
        <w:rPr>
          <w:rFonts w:cs="Arial" w:ascii="Arial" w:hAnsi="Arial"/>
          <w:sz w:val="24"/>
          <w:szCs w:val="24"/>
        </w:rPr>
      </w:r>
    </w:p>
    <w:p>
      <w:pPr>
        <w:pStyle w:val="Footer"/>
        <w:numPr>
          <w:ilvl w:val="0"/>
          <w:numId w:val="2"/>
        </w:numPr>
        <w:rPr>
          <w:rFonts w:ascii="Arial" w:hAnsi="Arial" w:eastAsia="Batang" w:cs="Arial"/>
          <w:b/>
          <w:b/>
          <w:sz w:val="24"/>
          <w:szCs w:val="24"/>
        </w:rPr>
      </w:pPr>
      <w:r>
        <w:rPr>
          <w:rFonts w:eastAsia="Batang" w:cs="Arial" w:ascii="Arial" w:hAnsi="Arial"/>
          <w:b/>
          <w:sz w:val="24"/>
          <w:szCs w:val="24"/>
        </w:rPr>
        <w:t>Canales de ayuda para estudiantes y profesores:</w:t>
      </w:r>
    </w:p>
    <w:p>
      <w:pPr>
        <w:pStyle w:val="Footer"/>
        <w:rPr>
          <w:rFonts w:ascii="Arial" w:hAnsi="Arial" w:eastAsia="Batang" w:cs="Arial"/>
          <w:b/>
          <w:b/>
          <w:sz w:val="24"/>
          <w:szCs w:val="24"/>
        </w:rPr>
      </w:pPr>
      <w:r>
        <w:rPr>
          <w:rFonts w:eastAsia="Batang" w:cs="Arial" w:ascii="Arial" w:hAnsi="Arial"/>
          <w:b/>
          <w:sz w:val="24"/>
          <w:szCs w:val="24"/>
        </w:rPr>
      </w:r>
    </w:p>
    <w:p>
      <w:pPr>
        <w:pStyle w:val="Footer"/>
        <w:jc w:val="both"/>
        <w:rPr>
          <w:rFonts w:ascii="Arial" w:hAnsi="Arial" w:cs="Arial"/>
          <w:sz w:val="24"/>
          <w:szCs w:val="24"/>
        </w:rPr>
      </w:pPr>
      <w:r>
        <w:rPr>
          <w:rFonts w:cs="Arial" w:ascii="Arial" w:hAnsi="Arial"/>
          <w:sz w:val="24"/>
          <w:szCs w:val="24"/>
        </w:rPr>
        <w:t>En cualquier momento los profesores y estudiantes podrán apoyarse en la labor de los coordinadores de su programa, la Decanatura de Estudiantes, la Secretaría General de la Universidad y la Oficina del Ombudsperson para consultar sobre asuntos académicos o administrativos según corresponda.</w:t>
      </w:r>
    </w:p>
    <w:p>
      <w:pPr>
        <w:pStyle w:val="Footer"/>
        <w:jc w:val="both"/>
        <w:rPr>
          <w:rFonts w:ascii="Arial" w:hAnsi="Arial" w:cs="Arial"/>
          <w:sz w:val="24"/>
          <w:szCs w:val="24"/>
        </w:rPr>
      </w:pPr>
      <w:r>
        <w:rPr>
          <w:rFonts w:cs="Arial" w:ascii="Arial" w:hAnsi="Arial"/>
          <w:sz w:val="24"/>
          <w:szCs w:val="24"/>
        </w:rPr>
      </w:r>
    </w:p>
    <w:p>
      <w:pPr>
        <w:pStyle w:val="ListParagraph"/>
        <w:numPr>
          <w:ilvl w:val="0"/>
          <w:numId w:val="2"/>
        </w:numPr>
        <w:tabs>
          <w:tab w:val="left" w:pos="6946" w:leader="none"/>
        </w:tabs>
        <w:jc w:val="both"/>
        <w:outlineLvl w:val="0"/>
        <w:rPr>
          <w:rFonts w:ascii="Arial" w:hAnsi="Arial" w:cs="Arial"/>
          <w:b/>
          <w:b/>
          <w:bCs/>
          <w:sz w:val="24"/>
          <w:szCs w:val="24"/>
          <w:lang w:val="es-ES"/>
        </w:rPr>
      </w:pPr>
      <w:r>
        <w:rPr>
          <w:rFonts w:cs="Arial" w:ascii="Arial" w:hAnsi="Arial"/>
          <w:b/>
          <w:bCs/>
          <w:sz w:val="24"/>
          <w:szCs w:val="24"/>
          <w:lang w:val="es-ES"/>
        </w:rPr>
        <w:t>Ajustes razonables</w:t>
      </w:r>
    </w:p>
    <w:p>
      <w:pPr>
        <w:pStyle w:val="Normal"/>
        <w:numPr>
          <w:ilvl w:val="0"/>
          <w:numId w:val="0"/>
        </w:numPr>
        <w:tabs>
          <w:tab w:val="left" w:pos="6946" w:leader="none"/>
        </w:tabs>
        <w:jc w:val="both"/>
        <w:outlineLvl w:val="0"/>
        <w:rPr/>
      </w:pPr>
      <w:r>
        <w:rPr>
          <w:rFonts w:cs="Arial" w:ascii="Arial" w:hAnsi="Arial"/>
          <w:sz w:val="24"/>
          <w:szCs w:val="24"/>
          <w:lang w:val="es-ES"/>
        </w:rPr>
        <w:t xml:space="preserve">Según el Art.2 de la Convención sobre los </w:t>
      </w:r>
      <w:r>
        <w:rPr>
          <w:rFonts w:cs="Arial" w:ascii="Arial" w:hAnsi="Arial"/>
          <w:i/>
          <w:iCs/>
          <w:sz w:val="24"/>
          <w:szCs w:val="24"/>
          <w:lang w:val="es-ES"/>
        </w:rPr>
        <w:t>Derechos de las personas con discapacidad</w:t>
      </w:r>
      <w:r>
        <w:rPr>
          <w:rFonts w:cs="Arial" w:ascii="Arial" w:hAnsi="Arial"/>
          <w:sz w:val="24"/>
          <w:szCs w:val="24"/>
          <w:lang w:val="es-ES"/>
        </w:rPr>
        <w:t xml:space="preserve"> de la ONU,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lo tanto, siéntase en libertad de informar a su profesor lo antes posible si tiene alguna condición o situación de discapacidad, visible o invisible, y requiere de algún tipo de apoyo o ajuste para estar en igualdad de condiciones con los demás estudiantes. En caso dado, por favor justifique su solicitud con un certificado médico o constancia de su situación. Así mismo, lo invitamos a buscar asesoría y apoyo en la dirección de su programa, en la decanatura de Estudiantes (Bloque Ñf, ext.2330, </w:t>
      </w:r>
      <w:hyperlink r:id="rId2">
        <w:r>
          <w:rPr>
            <w:rStyle w:val="InternetLink"/>
            <w:rFonts w:cs="Arial" w:ascii="Arial" w:hAnsi="Arial"/>
            <w:sz w:val="24"/>
            <w:szCs w:val="24"/>
            <w:lang w:val="es-ES"/>
          </w:rPr>
          <w:t>http://centrodeconsejeria.uniandes.edu.co</w:t>
        </w:r>
      </w:hyperlink>
      <w:r>
        <w:rPr>
          <w:rFonts w:cs="Arial" w:ascii="Arial" w:hAnsi="Arial"/>
          <w:sz w:val="24"/>
          <w:szCs w:val="24"/>
          <w:lang w:val="es-ES"/>
        </w:rPr>
        <w:t xml:space="preserve">) o en el Programa de Acción por la Igualdad y la Inclusión Social (PAIIS) de la Facultad de Derecho (paiis@uniandes.edu.co). </w:t>
      </w:r>
    </w:p>
    <w:p>
      <w:pPr>
        <w:pStyle w:val="Normal"/>
        <w:numPr>
          <w:ilvl w:val="0"/>
          <w:numId w:val="0"/>
        </w:numPr>
        <w:tabs>
          <w:tab w:val="left" w:pos="6946" w:leader="none"/>
        </w:tabs>
        <w:jc w:val="both"/>
        <w:outlineLvl w:val="0"/>
        <w:rPr>
          <w:sz w:val="24"/>
          <w:szCs w:val="24"/>
          <w:lang w:val="es-ES"/>
        </w:rPr>
      </w:pPr>
      <w:r>
        <w:rPr>
          <w:sz w:val="24"/>
          <w:szCs w:val="24"/>
          <w:lang w:val="es-ES"/>
        </w:rPr>
      </w:r>
    </w:p>
    <w:p>
      <w:pPr>
        <w:pStyle w:val="ListParagraph"/>
        <w:numPr>
          <w:ilvl w:val="0"/>
          <w:numId w:val="2"/>
        </w:numPr>
        <w:tabs>
          <w:tab w:val="left" w:pos="6946" w:leader="none"/>
        </w:tabs>
        <w:jc w:val="both"/>
        <w:outlineLvl w:val="0"/>
        <w:rPr>
          <w:rFonts w:ascii="Arial" w:hAnsi="Arial" w:cs="Arial"/>
          <w:b/>
          <w:b/>
          <w:bCs/>
          <w:sz w:val="24"/>
          <w:szCs w:val="24"/>
          <w:lang w:val="es-ES"/>
        </w:rPr>
      </w:pPr>
      <w:r>
        <w:rPr>
          <w:rFonts w:cs="Arial" w:ascii="Arial" w:hAnsi="Arial"/>
          <w:b/>
          <w:bCs/>
          <w:sz w:val="24"/>
          <w:szCs w:val="24"/>
          <w:lang w:val="es-ES"/>
        </w:rPr>
        <w:t>Respeto por la diversidad</w:t>
      </w:r>
    </w:p>
    <w:p>
      <w:pPr>
        <w:pStyle w:val="Normal"/>
        <w:numPr>
          <w:ilvl w:val="0"/>
          <w:numId w:val="0"/>
        </w:numPr>
        <w:tabs>
          <w:tab w:val="left" w:pos="6946" w:leader="none"/>
        </w:tabs>
        <w:jc w:val="both"/>
        <w:outlineLvl w:val="0"/>
        <w:rPr>
          <w:sz w:val="24"/>
          <w:szCs w:val="24"/>
          <w:highlight w:val="yellow"/>
          <w:lang w:val="es-ES"/>
        </w:rPr>
      </w:pPr>
      <w:r>
        <w:rPr>
          <w:rFonts w:cs="Arial" w:ascii="Arial" w:hAnsi="Arial"/>
          <w:sz w:val="24"/>
          <w:szCs w:val="24"/>
          <w:lang w:val="es-ES"/>
        </w:rPr>
        <w:t>Los valores de inclusión y respeto por la diversidad son fundamentales para nuestra labor. En esta comunidad consideramos inaceptable cualquier situación de acoso, discriminación, matoneo, y/o amenaza. Si alguno de los miembros de esta comunidad siente que está pasando por alguna de estas situaciones o sabe de alguien a quien esto le puede estar pasando puede denunciar su ocurrencia y buscar orientación y apoyo ante alguna de las siguientes instancias:</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 xml:space="preserve">el equipo pedagógico del curso o la dirección del programa, </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 xml:space="preserve">la Decanatura de Estudiantes (DECA), </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la Ombudsperson (ombudsperson@uniandes.edu.co).</w:t>
      </w:r>
    </w:p>
    <w:p>
      <w:pPr>
        <w:pStyle w:val="Normal"/>
        <w:numPr>
          <w:ilvl w:val="0"/>
          <w:numId w:val="8"/>
        </w:numPr>
        <w:tabs>
          <w:tab w:val="left" w:pos="6946" w:leader="none"/>
        </w:tabs>
        <w:overflowPunct w:val="true"/>
        <w:jc w:val="both"/>
        <w:textAlignment w:val="auto"/>
        <w:outlineLvl w:val="0"/>
        <w:rPr>
          <w:sz w:val="24"/>
          <w:szCs w:val="24"/>
          <w:lang w:val="es-ES"/>
        </w:rPr>
      </w:pPr>
      <w:r>
        <w:rPr>
          <w:rFonts w:cs="Arial" w:ascii="Arial" w:hAnsi="Arial"/>
          <w:sz w:val="24"/>
          <w:szCs w:val="24"/>
          <w:lang w:val="es-ES"/>
        </w:rPr>
        <w:t>el Comité MAAD (Maltrato, Acoso, Amenaza y Discriminación)</w:t>
      </w:r>
    </w:p>
    <w:p>
      <w:pPr>
        <w:pStyle w:val="Normal"/>
        <w:numPr>
          <w:ilvl w:val="0"/>
          <w:numId w:val="0"/>
        </w:numPr>
        <w:tabs>
          <w:tab w:val="left" w:pos="6946" w:leader="none"/>
        </w:tabs>
        <w:ind w:left="720" w:hanging="0"/>
        <w:jc w:val="both"/>
        <w:outlineLvl w:val="0"/>
        <w:rPr>
          <w:sz w:val="24"/>
          <w:szCs w:val="24"/>
          <w:lang w:val="es-ES"/>
        </w:rPr>
      </w:pPr>
      <w:r>
        <w:rPr>
          <w:rFonts w:cs="Arial" w:ascii="Arial" w:hAnsi="Arial"/>
          <w:sz w:val="24"/>
          <w:szCs w:val="24"/>
          <w:lang w:val="es-ES"/>
        </w:rPr>
        <w:t xml:space="preserve">(lineamaad@uniandes.edu.co, https://secretariageneral.uniandes.edu.co/index.php/es/inicio-es/14-noticias/128). </w:t>
      </w:r>
    </w:p>
    <w:p>
      <w:pPr>
        <w:pStyle w:val="Normal"/>
        <w:numPr>
          <w:ilvl w:val="0"/>
          <w:numId w:val="0"/>
        </w:numPr>
        <w:tabs>
          <w:tab w:val="left" w:pos="6946" w:leader="none"/>
        </w:tabs>
        <w:jc w:val="both"/>
        <w:outlineLvl w:val="0"/>
        <w:rPr/>
      </w:pPr>
      <w:r>
        <w:rPr>
          <w:rFonts w:cs="Arial" w:ascii="Arial" w:hAnsi="Arial"/>
          <w:sz w:val="24"/>
          <w:szCs w:val="24"/>
          <w:lang w:val="es-ES"/>
        </w:rPr>
        <w:t xml:space="preserve">También puede acudir a los representantes estudiantiles (CEU) y/o a los grupos estudiantiles que pueden prestarle apoyo y acompañamiento: No Es Normal (derechoygenero@uniandes.edu.co o </w:t>
      </w:r>
      <w:hyperlink r:id="rId3">
        <w:r>
          <w:rPr>
            <w:rStyle w:val="InternetLink"/>
            <w:rFonts w:cs="Arial" w:ascii="Arial" w:hAnsi="Arial"/>
            <w:sz w:val="24"/>
            <w:szCs w:val="24"/>
            <w:lang w:val="es-ES"/>
          </w:rPr>
          <w:t>https://www.facebook.com/noesnormaluniandes/?fref=ts</w:t>
        </w:r>
      </w:hyperlink>
      <w:r>
        <w:rPr>
          <w:rFonts w:cs="Arial" w:ascii="Arial" w:hAnsi="Arial"/>
          <w:sz w:val="24"/>
          <w:szCs w:val="24"/>
          <w:lang w:val="es-ES"/>
        </w:rPr>
        <w:t>);</w:t>
      </w:r>
      <w:r>
        <w:rPr>
          <w:rFonts w:cs="Arial" w:ascii="Arial" w:hAnsi="Arial"/>
          <w:sz w:val="24"/>
          <w:szCs w:val="24"/>
          <w:highlight w:val="yellow"/>
          <w:lang w:val="es-ES"/>
        </w:rPr>
        <w:t xml:space="preserve"> </w:t>
      </w:r>
      <w:r>
        <w:rPr>
          <w:rFonts w:cs="Arial" w:ascii="Arial" w:hAnsi="Arial"/>
          <w:sz w:val="24"/>
          <w:szCs w:val="24"/>
          <w:lang w:val="es-ES"/>
        </w:rPr>
        <w:t xml:space="preserve">Pares de Acompañamiento Contra el Acoso (paca@uniandes.edu.co o </w:t>
      </w:r>
      <w:hyperlink r:id="rId4">
        <w:r>
          <w:rPr>
            <w:rStyle w:val="InternetLink"/>
            <w:rFonts w:cs="Arial" w:ascii="Arial" w:hAnsi="Arial"/>
            <w:sz w:val="24"/>
            <w:szCs w:val="24"/>
            <w:lang w:val="es-ES"/>
          </w:rPr>
          <w:t>https://www.facebook.com/PACA-1475960596003814/?fref=ts</w:t>
        </w:r>
      </w:hyperlink>
      <w:r>
        <w:rPr>
          <w:rFonts w:cs="Arial" w:ascii="Arial" w:hAnsi="Arial"/>
          <w:sz w:val="24"/>
          <w:szCs w:val="24"/>
          <w:lang w:val="es-ES"/>
        </w:rPr>
        <w:t>). Además, en clase usted podrá solicitar ser identificado con el nombre y los pronombres que usted prefiera, estos pueden coincidir o no con su nombre legal registrado en banner. Nonobstante, para firmar en listas de asistencia y marcar hojas de exámenes, debe usar su nombre legal.</w:t>
      </w:r>
    </w:p>
    <w:p>
      <w:pPr>
        <w:pStyle w:val="Normal"/>
        <w:jc w:val="right"/>
        <w:rPr/>
      </w:pPr>
      <w:r>
        <w:rPr/>
      </w:r>
    </w:p>
    <w:sectPr>
      <w:headerReference w:type="default" r:id="rId5"/>
      <w:footerReference w:type="default" r:id="rId6"/>
      <w:type w:val="nextPage"/>
      <w:pgSz w:w="12240" w:h="15840"/>
      <w:pgMar w:left="1134" w:right="900" w:header="709" w:top="1418" w:footer="227"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rebuchet MS">
    <w:charset w:val="01"/>
    <w:family w:val="roman"/>
    <w:pitch w:val="variable"/>
  </w:font>
  <w:font w:name="Arial Narrow">
    <w:charset w:val="01"/>
    <w:family w:val="roman"/>
    <w:pitch w:val="variable"/>
  </w:font>
  <w:font w:name="Agfa Rotis Semi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1085" w:hanging="0"/>
      <w:jc w:val="both"/>
      <w:rPr>
        <w:rFonts w:ascii="Trebuchet MS" w:hAnsi="Trebuchet MS"/>
        <w:sz w:val="14"/>
        <w:lang w:val="es-ES"/>
      </w:rPr>
    </w:pPr>
    <w:r>
      <w:rPr>
        <w:rFonts w:ascii="Trebuchet MS" w:hAnsi="Trebuchet MS"/>
        <w:sz w:val="14"/>
        <w:lang w:val="es-ES"/>
      </w:rPr>
      <w:t>Departamento de Matemáticas</w:t>
    </w:r>
  </w:p>
  <w:p>
    <w:pPr>
      <w:pStyle w:val="Normal"/>
      <w:ind w:right="-1085" w:hanging="0"/>
      <w:jc w:val="both"/>
      <w:rPr>
        <w:rFonts w:ascii="Trebuchet MS" w:hAnsi="Trebuchet MS"/>
        <w:sz w:val="14"/>
        <w:lang w:val="pt-BR"/>
      </w:rPr>
    </w:pPr>
    <w:r>
      <w:rPr>
        <w:rFonts w:ascii="Trebuchet MS" w:hAnsi="Trebuchet MS"/>
        <w:sz w:val="14"/>
        <w:lang w:val="pt-BR"/>
      </w:rPr>
      <w:t xml:space="preserve">Cra. 1 N° 18A-10, Bogotá – Colombia Tel. (57.1) 3 39 4949 | 3 39 4999 Ext. 2710 Fax. 3 32 4340  </w:t>
    </w:r>
  </w:p>
  <w:p>
    <w:pPr>
      <w:pStyle w:val="Normal"/>
      <w:ind w:right="-1085" w:hanging="0"/>
      <w:jc w:val="both"/>
      <w:rPr/>
    </w:pPr>
    <w:hyperlink r:id="rId1">
      <w:r>
        <w:rPr>
          <w:rStyle w:val="InternetLink"/>
          <w:rFonts w:ascii="Trebuchet MS" w:hAnsi="Trebuchet MS"/>
          <w:sz w:val="14"/>
          <w:lang w:val="pt-BR"/>
        </w:rPr>
        <w:t>http://matematicas.uniandes.edu.co</w:t>
      </w:r>
    </w:hyperlink>
    <w:r>
      <w:rPr>
        <w:rFonts w:ascii="Trebuchet MS" w:hAnsi="Trebuchet MS"/>
        <w:sz w:val="14"/>
        <w:lang w:val="pt-BR"/>
      </w:rPr>
      <w:t xml:space="preserve"> </w:t>
    </w:r>
  </w:p>
  <w:p>
    <w:pPr>
      <w:pStyle w:val="Normal"/>
      <w:ind w:right="-1085" w:hanging="0"/>
      <w:jc w:val="center"/>
      <w:rPr>
        <w:rFonts w:ascii="Trebuchet MS" w:hAnsi="Trebuchet MS" w:cs="Calibri"/>
        <w:sz w:val="12"/>
      </w:rPr>
    </w:pPr>
    <w:r>
      <w:rPr>
        <w:rFonts w:cs="Calibri" w:ascii="Trebuchet MS" w:hAnsi="Trebuchet MS"/>
        <w:sz w:val="12"/>
      </w:rPr>
    </w:r>
  </w:p>
  <w:p>
    <w:pPr>
      <w:pStyle w:val="Normal"/>
      <w:ind w:right="-1085" w:hanging="0"/>
      <w:rPr>
        <w:rFonts w:ascii="Trebuchet MS" w:hAnsi="Trebuchet MS" w:cs="Calibri"/>
        <w:sz w:val="12"/>
      </w:rPr>
    </w:pPr>
    <w:r>
      <w:rPr>
        <w:rFonts w:cs="Calibri" w:ascii="Trebuchet MS" w:hAnsi="Trebuchet MS"/>
        <w:sz w:val="12"/>
      </w:rPr>
    </w:r>
  </w:p>
  <w:p>
    <w:pPr>
      <w:pStyle w:val="Normal"/>
      <w:ind w:right="-1085" w:hanging="0"/>
      <w:jc w:val="center"/>
      <w:rPr>
        <w:rFonts w:ascii="Trebuchet MS" w:hAnsi="Trebuchet MS" w:cs="Calibri"/>
        <w:sz w:val="12"/>
      </w:rPr>
    </w:pPr>
    <w:r>
      <w:rPr>
        <w:rFonts w:cs="Calibri" w:ascii="Trebuchet MS" w:hAnsi="Trebuchet MS"/>
        <w:sz w:val="12"/>
        <w:lang w:val="es-ES"/>
      </w:rPr>
      <w:t xml:space="preserve">Universidad de los Andes | Vigilada Mineducación | Reconocimiento como Universidad: Decreto 1297 del 30 de mayo de 1964. </w:t>
    </w:r>
    <w:r>
      <w:rPr>
        <w:rFonts w:cs="Calibri" w:ascii="Trebuchet MS" w:hAnsi="Trebuchet MS"/>
        <w:sz w:val="12"/>
      </w:rPr>
      <w:t>Reconocimiento personería jurídica: Resolución 28 del 23 de</w:t>
    </w:r>
  </w:p>
  <w:p>
    <w:pPr>
      <w:pStyle w:val="Normal"/>
      <w:ind w:right="-1085" w:hanging="0"/>
      <w:jc w:val="center"/>
      <w:rPr>
        <w:rFonts w:ascii="Trebuchet MS" w:hAnsi="Trebuchet MS" w:cs="Calibri"/>
        <w:sz w:val="14"/>
      </w:rPr>
    </w:pPr>
    <w:r>
      <w:rPr>
        <w:rFonts w:cs="Calibri" w:ascii="Trebuchet MS" w:hAnsi="Trebuchet MS"/>
        <w:sz w:val="12"/>
      </w:rPr>
      <w:t>febrero de 1949 Minjusticia</w:t>
    </w:r>
    <w:r>
      <w:rPr>
        <w:rFonts w:cs="Calibri" w:ascii="Trebuchet MS" w:hAnsi="Trebuchet MS"/>
        <w:sz w:val="14"/>
      </w:rPr>
      <w:t>.</w:t>
    </w:r>
  </w:p>
  <w:p>
    <w:pPr>
      <w:pStyle w:val="Normal"/>
      <w:ind w:right="-1085" w:hanging="0"/>
      <w:jc w:val="center"/>
      <w:rPr>
        <w:rFonts w:ascii="Trebuchet MS" w:hAnsi="Trebuchet MS" w:cs="Calibri"/>
        <w:sz w:val="14"/>
      </w:rPr>
    </w:pPr>
    <w:r>
      <w:rPr>
        <w:rFonts w:cs="Calibri" w:ascii="Trebuchet MS" w:hAnsi="Trebuchet MS"/>
        <w:sz w:val="14"/>
      </w:rPr>
    </w:r>
  </w:p>
  <w:p>
    <w:pPr>
      <w:pStyle w:val="Normal"/>
      <w:ind w:right="-1085" w:hanging="0"/>
      <w:jc w:val="center"/>
      <w:rPr>
        <w:rFonts w:ascii="Trebuchet MS" w:hAnsi="Trebuchet MS" w:cs="Calibri"/>
        <w:sz w:val="14"/>
      </w:rPr>
    </w:pPr>
    <w:r>
      <w:rPr>
        <w:rFonts w:cs="Calibri" w:ascii="Trebuchet MS" w:hAnsi="Trebuchet MS"/>
        <w:sz w:val="14"/>
      </w:rPr>
    </w:r>
  </w:p>
  <w:p>
    <w:pPr>
      <w:pStyle w:val="Normal"/>
      <w:ind w:right="-1085" w:hanging="0"/>
      <w:jc w:val="center"/>
      <w:rPr>
        <w:rFonts w:ascii="Agfa Rotis Semisans" w:hAnsi="Agfa Rotis Semisans"/>
        <w:sz w:val="14"/>
        <w:lang w:val="pt-BR"/>
      </w:rPr>
    </w:pPr>
    <w:r>
      <w:rPr>
        <w:rFonts w:ascii="Agfa Rotis Semisans" w:hAnsi="Agfa Rotis Semisans"/>
        <w:sz w:val="14"/>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r>
  </w:p>
  <w:tbl>
    <w:tblPr>
      <w:tblW w:w="9930" w:type="dxa"/>
      <w:jc w:val="center"/>
      <w:tblInd w:w="0" w:type="dxa"/>
      <w:tblBorders/>
      <w:tblCellMar>
        <w:top w:w="0" w:type="dxa"/>
        <w:left w:w="108" w:type="dxa"/>
        <w:bottom w:w="0" w:type="dxa"/>
        <w:right w:w="108" w:type="dxa"/>
      </w:tblCellMar>
      <w:tblLook w:val="04a0" w:noVBand="1" w:noHBand="0" w:lastColumn="0" w:firstColumn="1" w:lastRow="0" w:firstRow="1"/>
    </w:tblPr>
    <w:tblGrid>
      <w:gridCol w:w="3096"/>
      <w:gridCol w:w="1845"/>
      <w:gridCol w:w="4989"/>
    </w:tblGrid>
    <w:tr>
      <w:trPr>
        <w:trHeight w:val="274" w:hRule="atLeast"/>
      </w:trPr>
      <w:tc>
        <w:tcPr>
          <w:tcW w:w="3096" w:type="dxa"/>
          <w:vMerge w:val="restart"/>
          <w:tcBorders/>
          <w:shd w:color="auto" w:fill="auto" w:val="clear"/>
          <w:vAlign w:val="center"/>
        </w:tcPr>
        <w:p>
          <w:pPr>
            <w:pStyle w:val="Normal"/>
            <w:jc w:val="center"/>
            <w:rPr>
              <w:rFonts w:ascii="Arial" w:hAnsi="Arial" w:cs="Arial"/>
              <w:sz w:val="24"/>
              <w:szCs w:val="24"/>
            </w:rPr>
          </w:pPr>
          <w:r>
            <w:rPr/>
            <w:drawing>
              <wp:inline distT="0" distB="0" distL="0" distR="0">
                <wp:extent cx="1819275" cy="77152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1"/>
                        <a:stretch>
                          <a:fillRect/>
                        </a:stretch>
                      </pic:blipFill>
                      <pic:spPr bwMode="auto">
                        <a:xfrm>
                          <a:off x="0" y="0"/>
                          <a:ext cx="1819275" cy="771525"/>
                        </a:xfrm>
                        <a:prstGeom prst="rect">
                          <a:avLst/>
                        </a:prstGeom>
                      </pic:spPr>
                    </pic:pic>
                  </a:graphicData>
                </a:graphic>
              </wp:inline>
            </w:drawing>
          </w:r>
        </w:p>
      </w:tc>
      <w:tc>
        <w:tcPr>
          <w:tcW w:w="1845" w:type="dxa"/>
          <w:tcBorders/>
          <w:shd w:color="auto" w:fill="auto" w:val="clear"/>
          <w:vAlign w:val="center"/>
        </w:tcPr>
        <w:p>
          <w:pPr>
            <w:pStyle w:val="Normal"/>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Normal"/>
            <w:jc w:val="right"/>
            <w:rPr>
              <w:rFonts w:ascii="Arial" w:hAnsi="Arial" w:cs="Arial"/>
              <w:b/>
              <w:b/>
              <w:sz w:val="24"/>
              <w:szCs w:val="24"/>
            </w:rPr>
          </w:pPr>
          <w:r>
            <w:rPr>
              <w:rFonts w:cs="Arial" w:ascii="Arial" w:hAnsi="Arial"/>
              <w:b/>
            </w:rPr>
            <w:t>DEPARTAMETO DE  MATEMATICAS</w:t>
          </w:r>
        </w:p>
      </w:tc>
    </w:tr>
    <w:tr>
      <w:trPr>
        <w:trHeight w:val="12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restart"/>
          <w:tcBorders/>
          <w:shd w:color="auto" w:fill="auto" w:val="clear"/>
          <w:vAlign w:val="center"/>
        </w:tcPr>
        <w:p>
          <w:pPr>
            <w:pStyle w:val="NoSpacing"/>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Header"/>
            <w:jc w:val="right"/>
            <w:rPr>
              <w:rFonts w:ascii="Arial" w:hAnsi="Arial" w:cs="Arial"/>
              <w:sz w:val="20"/>
              <w:szCs w:val="20"/>
            </w:rPr>
          </w:pPr>
          <w:r>
            <w:rPr>
              <w:rFonts w:cs="Arial" w:ascii="Arial" w:hAnsi="Arial"/>
              <w:sz w:val="20"/>
              <w:szCs w:val="20"/>
            </w:rPr>
            <w:t>MATE-1207</w:t>
          </w:r>
        </w:p>
        <w:p>
          <w:pPr>
            <w:pStyle w:val="Header"/>
            <w:jc w:val="right"/>
            <w:rPr>
              <w:rFonts w:ascii="Arial" w:hAnsi="Arial" w:cs="Arial"/>
              <w:sz w:val="20"/>
              <w:szCs w:val="20"/>
            </w:rPr>
          </w:pPr>
          <w:r>
            <w:rPr>
              <w:rFonts w:cs="Arial" w:ascii="Arial" w:hAnsi="Arial"/>
              <w:sz w:val="20"/>
              <w:szCs w:val="20"/>
            </w:rPr>
            <w:t>Primer Semestre de 2020</w:t>
          </w:r>
        </w:p>
        <w:p>
          <w:pPr>
            <w:pStyle w:val="Header"/>
            <w:jc w:val="right"/>
            <w:rPr>
              <w:rFonts w:ascii="Arial" w:hAnsi="Arial" w:cs="Arial"/>
              <w:sz w:val="16"/>
              <w:szCs w:val="16"/>
              <w:highlight w:val="yellow"/>
            </w:rPr>
          </w:pPr>
          <w:r>
            <w:rPr>
              <w:rFonts w:cs="Arial" w:ascii="Arial" w:hAnsi="Arial"/>
              <w:sz w:val="16"/>
              <w:szCs w:val="16"/>
              <w:highlight w:val="yellow"/>
            </w:rPr>
          </w:r>
        </w:p>
        <w:p>
          <w:pPr>
            <w:pStyle w:val="Header"/>
            <w:jc w:val="right"/>
            <w:rPr>
              <w:rFonts w:ascii="Arial" w:hAnsi="Arial" w:cs="Arial"/>
              <w:sz w:val="16"/>
              <w:szCs w:val="16"/>
              <w:highlight w:val="yellow"/>
            </w:rPr>
          </w:pPr>
          <w:r>
            <w:rPr>
              <w:rFonts w:cs="Arial" w:ascii="Arial" w:hAnsi="Arial"/>
              <w:sz w:val="16"/>
              <w:szCs w:val="16"/>
              <w:highlight w:val="yellow"/>
            </w:rPr>
          </w:r>
        </w:p>
      </w:tc>
    </w:tr>
    <w:tr>
      <w:trPr>
        <w:trHeight w:val="28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color="auto" w:fill="auto" w:val="clear"/>
          <w:vAlign w:val="center"/>
        </w:tcPr>
        <w:p>
          <w:pPr>
            <w:pStyle w:val="Normal"/>
            <w:jc w:val="right"/>
            <w:rPr/>
          </w:pPr>
          <w:r>
            <w:rPr>
              <w:rFonts w:cs="Arial" w:ascii="Arial" w:hAnsi="Arial"/>
              <w:lang w:val="es-ES"/>
            </w:rPr>
            <w:t>Profesor de la sección</w:t>
          </w:r>
        </w:p>
        <w:p>
          <w:pPr>
            <w:pStyle w:val="Normal"/>
            <w:jc w:val="right"/>
            <w:rPr/>
          </w:pPr>
          <w:r>
            <w:rPr>
              <w:rFonts w:cs="Arial" w:ascii="Arial" w:hAnsi="Arial"/>
              <w:sz w:val="24"/>
              <w:szCs w:val="24"/>
              <w:lang w:val="es-ES"/>
            </w:rPr>
            <w:t>Alexander Berenstein</w:t>
          </w:r>
        </w:p>
      </w:tc>
    </w:tr>
    <w:tr>
      <w:trPr>
        <w:trHeight w:val="272" w:hRule="atLeast"/>
      </w:trPr>
      <w:tc>
        <w:tcPr>
          <w:tcW w:w="3096" w:type="dxa"/>
          <w:vMerge w:val="continue"/>
          <w:tcBorders/>
          <w:shd w:color="auto" w:fill="auto" w:val="clear"/>
          <w:vAlign w:val="center"/>
        </w:tcPr>
        <w:p>
          <w:pPr>
            <w:pStyle w:val="Normal"/>
            <w:jc w:val="center"/>
            <w:rPr>
              <w:rFonts w:ascii="Arial" w:hAnsi="Arial" w:cs="Arial"/>
              <w:sz w:val="24"/>
              <w:szCs w:val="24"/>
              <w:lang w:val="es-ES"/>
            </w:rPr>
          </w:pPr>
          <w:r>
            <w:rPr>
              <w:rFonts w:cs="Arial" w:ascii="Arial" w:hAnsi="Arial"/>
              <w:sz w:val="24"/>
              <w:szCs w:val="24"/>
              <w:lang w:val="es-ES"/>
            </w:rPr>
          </w:r>
        </w:p>
      </w:tc>
      <w:tc>
        <w:tcPr>
          <w:tcW w:w="1845" w:type="dxa"/>
          <w:vMerge w:val="continue"/>
          <w:tcBorders/>
          <w:shd w:color="auto" w:fill="auto" w:val="clear"/>
          <w:vAlign w:val="center"/>
        </w:tcPr>
        <w:p>
          <w:pPr>
            <w:pStyle w:val="Normal"/>
            <w:jc w:val="center"/>
            <w:rPr>
              <w:rFonts w:ascii="Arial" w:hAnsi="Arial" w:cs="Arial"/>
              <w:sz w:val="24"/>
              <w:szCs w:val="24"/>
              <w:lang w:val="es-ES"/>
            </w:rPr>
          </w:pPr>
          <w:r>
            <w:rPr>
              <w:rFonts w:cs="Arial" w:ascii="Arial" w:hAnsi="Arial"/>
              <w:sz w:val="24"/>
              <w:szCs w:val="24"/>
              <w:lang w:val="es-ES"/>
            </w:rPr>
          </w:r>
        </w:p>
      </w:tc>
      <w:tc>
        <w:tcPr>
          <w:tcW w:w="4989" w:type="dxa"/>
          <w:tcBorders/>
          <w:shd w:color="auto" w:fill="auto" w:val="clear"/>
          <w:vAlign w:val="center"/>
        </w:tcPr>
        <w:p>
          <w:pPr>
            <w:pStyle w:val="Normal"/>
            <w:jc w:val="right"/>
            <w:rPr/>
          </w:pPr>
          <w:r>
            <w:rPr>
              <w:rFonts w:cs="Arial" w:ascii="Arial" w:hAnsi="Arial"/>
              <w:lang w:val="es-ES"/>
            </w:rPr>
            <w:t xml:space="preserve"> </w:t>
          </w:r>
          <w:r>
            <w:rPr>
              <w:rFonts w:cs="Arial" w:ascii="Arial" w:hAnsi="Arial"/>
              <w:lang w:val="es-ES"/>
            </w:rPr>
            <w:t>(</w:t>
          </w:r>
          <w:bookmarkStart w:id="2" w:name="__DdeLink__952_4000206929"/>
          <w:r>
            <w:rPr>
              <w:rFonts w:cs="Arial" w:ascii="Arial" w:hAnsi="Arial"/>
              <w:lang w:val="es-ES"/>
            </w:rPr>
            <w:t>aberenst</w:t>
          </w:r>
          <w:r>
            <w:rPr>
              <w:rFonts w:cs="Arial" w:ascii="Arial" w:hAnsi="Arial"/>
              <w:lang w:val="es-ES"/>
            </w:rPr>
            <w:t>@uniandes.edu.co</w:t>
          </w:r>
          <w:bookmarkEnd w:id="2"/>
          <w:r>
            <w:rPr>
              <w:rFonts w:cs="Arial" w:ascii="Arial" w:hAnsi="Arial"/>
              <w:lang w:val="es-ES"/>
            </w:rPr>
            <w:t>)</w:t>
          </w:r>
        </w:p>
      </w:tc>
    </w:tr>
  </w:tbl>
  <w:p>
    <w:pPr>
      <w:pStyle w:val="Header"/>
      <w:tabs>
        <w:tab w:val="left" w:pos="540" w:leader="none"/>
        <w:tab w:val="center" w:pos="4419" w:leader="none"/>
        <w:tab w:val="right" w:pos="8838" w:leader="none"/>
        <w:tab w:val="right" w:pos="9781" w:leader="none"/>
      </w:tabs>
      <w:ind w:left="-550" w:right="-1227" w:hanging="0"/>
      <w:rPr>
        <w:rFonts w:ascii="Arial" w:hAnsi="Arial" w:cs="Arial"/>
        <w:lang w:val="es-ES"/>
      </w:rPr>
    </w:pPr>
    <w:r>
      <w:rPr>
        <w:rFonts w:cs="Arial" w:ascii="Arial" w:hAnsi="Arial"/>
        <w:lang w:val="es-ES"/>
      </w:rPr>
    </w:r>
  </w:p>
  <w:p>
    <w:pPr>
      <w:pStyle w:val="Header"/>
      <w:tabs>
        <w:tab w:val="center" w:pos="4419" w:leader="none"/>
        <w:tab w:val="right" w:pos="8838" w:leader="none"/>
        <w:tab w:val="right" w:pos="9781" w:leader="none"/>
      </w:tabs>
      <w:ind w:right="-1227" w:hanging="0"/>
      <w:jc w:val="right"/>
      <w:rPr>
        <w:lang w:val="es-ES"/>
      </w:rPr>
    </w:pPr>
    <w:r>
      <w:rPr>
        <w:lang w:val="es-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360"/>
        </w:tabs>
        <w:ind w:left="360" w:hanging="360"/>
      </w:pPr>
      <w:rPr>
        <w:rFonts w:ascii="Symbol" w:hAnsi="Symbol" w:cs="Symbol" w:hint="default"/>
        <w:sz w:val="24"/>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a34"/>
    <w:pPr>
      <w:widowControl/>
      <w:bidi w:val="0"/>
      <w:jc w:val="left"/>
      <w:textAlignment w:val="baseline"/>
    </w:pPr>
    <w:rPr>
      <w:rFonts w:ascii="Times New Roman" w:hAnsi="Times New Roman" w:eastAsia="Times New Roman" w:cs="Times New Roman"/>
      <w:color w:val="auto"/>
      <w:sz w:val="20"/>
      <w:szCs w:val="20"/>
      <w:lang w:val="en-US" w:eastAsia="es-ES" w:bidi="ar-SA"/>
    </w:rPr>
  </w:style>
  <w:style w:type="paragraph" w:styleId="Heading1">
    <w:name w:val="Heading 1"/>
    <w:basedOn w:val="Normal"/>
    <w:next w:val="Normal"/>
    <w:link w:val="Heading1Char"/>
    <w:uiPriority w:val="9"/>
    <w:qFormat/>
    <w:rsid w:val="00495143"/>
    <w:pPr>
      <w:keepNext w:val="true"/>
      <w:overflowPunct w:val="true"/>
      <w:spacing w:lineRule="auto" w:line="276" w:before="240" w:after="60"/>
      <w:textAlignment w:val="auto"/>
      <w:outlineLvl w:val="0"/>
    </w:pPr>
    <w:rPr>
      <w:rFonts w:ascii="Cambria" w:hAnsi="Cambria"/>
      <w:b/>
      <w:bCs/>
      <w:sz w:val="32"/>
      <w:szCs w:val="32"/>
      <w:lang w:val="es-CO" w:eastAsia="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47213"/>
    <w:rPr/>
  </w:style>
  <w:style w:type="character" w:styleId="FooterChar" w:customStyle="1">
    <w:name w:val="Footer Char"/>
    <w:basedOn w:val="DefaultParagraphFont"/>
    <w:link w:val="Footer"/>
    <w:qFormat/>
    <w:rsid w:val="00a47213"/>
    <w:rPr/>
  </w:style>
  <w:style w:type="character" w:styleId="BalloonTextChar" w:customStyle="1">
    <w:name w:val="Balloon Text Char"/>
    <w:link w:val="BalloonText"/>
    <w:uiPriority w:val="99"/>
    <w:semiHidden/>
    <w:qFormat/>
    <w:rsid w:val="00a47213"/>
    <w:rPr>
      <w:rFonts w:ascii="Tahoma" w:hAnsi="Tahoma" w:cs="Tahoma"/>
      <w:sz w:val="16"/>
      <w:szCs w:val="16"/>
    </w:rPr>
  </w:style>
  <w:style w:type="character" w:styleId="InternetLink" w:customStyle="1">
    <w:name w:val="Internet Link"/>
    <w:basedOn w:val="DefaultParagraphFont"/>
    <w:uiPriority w:val="99"/>
    <w:unhideWhenUsed/>
    <w:rsid w:val="00c20011"/>
    <w:rPr>
      <w:color w:val="0563C1" w:themeColor="hyperlink"/>
      <w:u w:val="single"/>
    </w:rPr>
  </w:style>
  <w:style w:type="character" w:styleId="Emphasis">
    <w:name w:val="Emphasis"/>
    <w:qFormat/>
    <w:rsid w:val="00fa6cab"/>
    <w:rPr>
      <w:i/>
      <w:iCs/>
    </w:rPr>
  </w:style>
  <w:style w:type="character" w:styleId="Encabezadodemensajeetiqueta" w:customStyle="1">
    <w:name w:val="Encabezado de mensaje - etiqueta"/>
    <w:qFormat/>
    <w:rsid w:val="00fa6cab"/>
    <w:rPr>
      <w:rFonts w:ascii="Arial" w:hAnsi="Arial"/>
      <w:b/>
      <w:spacing w:val="-4"/>
      <w:position w:val="0"/>
      <w:sz w:val="18"/>
      <w:sz w:val="18"/>
      <w:vertAlign w:val="baseline"/>
    </w:rPr>
  </w:style>
  <w:style w:type="character" w:styleId="Pseditboxdisponly" w:customStyle="1">
    <w:name w:val="pseditbox_disponly"/>
    <w:basedOn w:val="DefaultParagraphFont"/>
    <w:qFormat/>
    <w:rsid w:val="00272991"/>
    <w:rPr/>
  </w:style>
  <w:style w:type="character" w:styleId="Heading1Char" w:customStyle="1">
    <w:name w:val="Heading 1 Char"/>
    <w:link w:val="Heading1"/>
    <w:uiPriority w:val="9"/>
    <w:qFormat/>
    <w:rsid w:val="00495143"/>
    <w:rPr>
      <w:rFonts w:ascii="Cambria" w:hAnsi="Cambria" w:eastAsia="Times New Roman"/>
      <w:b/>
      <w:bCs/>
      <w:sz w:val="32"/>
      <w:szCs w:val="32"/>
      <w:lang w:val="es-CO" w:eastAsia="en-US"/>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Arial" w:hAnsi="Arial" w:eastAsia="Times New Roman" w:cs="Times New Roman"/>
      <w:sz w:val="24"/>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Times New Roman" w:cs="Times New Roman"/>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OpenSymbol"/>
      <w:sz w:val="24"/>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name w:val="ListLabel 45"/>
    <w:qFormat/>
    <w:rPr>
      <w:b/>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Times New Roman"/>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Symbol"/>
      <w:b/>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Symbol"/>
      <w:b/>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b/>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eastAsia="Times New Roman" w:cs="Times New Roman"/>
      <w:sz w:val="24"/>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ascii="Arial" w:hAnsi="Arial" w:eastAsia="Times New Roman" w:cs="Times New Roman"/>
      <w:sz w:val="24"/>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fa6cab"/>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 w:val="24"/>
      <w:szCs w:val="24"/>
    </w:rPr>
  </w:style>
  <w:style w:type="paragraph" w:styleId="Header">
    <w:name w:val="Header"/>
    <w:basedOn w:val="Normal"/>
    <w:link w:val="HeaderChar"/>
    <w:uiPriority w:val="99"/>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Footer">
    <w:name w:val="Footer"/>
    <w:basedOn w:val="Normal"/>
    <w:link w:val="FooterChar"/>
    <w:unhideWhenUsed/>
    <w:rsid w:val="00a47213"/>
    <w:pPr>
      <w:tabs>
        <w:tab w:val="center" w:pos="4419" w:leader="none"/>
        <w:tab w:val="right" w:pos="8838" w:leader="none"/>
      </w:tabs>
      <w:overflowPunct w:val="true"/>
      <w:textAlignment w:val="auto"/>
    </w:pPr>
    <w:rPr>
      <w:rFonts w:ascii="Calibri" w:hAnsi="Calibri" w:eastAsia="Calibri"/>
      <w:sz w:val="22"/>
      <w:szCs w:val="22"/>
      <w:lang w:val="es-CO" w:eastAsia="en-US"/>
    </w:rPr>
  </w:style>
  <w:style w:type="paragraph" w:styleId="BalloonText">
    <w:name w:val="Balloon Text"/>
    <w:basedOn w:val="Normal"/>
    <w:link w:val="BalloonTextChar"/>
    <w:uiPriority w:val="99"/>
    <w:semiHidden/>
    <w:unhideWhenUsed/>
    <w:qFormat/>
    <w:rsid w:val="00a47213"/>
    <w:pPr>
      <w:overflowPunct w:val="true"/>
      <w:textAlignment w:val="auto"/>
    </w:pPr>
    <w:rPr>
      <w:rFonts w:ascii="Tahoma" w:hAnsi="Tahoma" w:eastAsia="Calibri" w:cs="Tahoma"/>
      <w:sz w:val="16"/>
      <w:szCs w:val="16"/>
      <w:lang w:val="es-CO" w:eastAsia="en-US"/>
    </w:rPr>
  </w:style>
  <w:style w:type="paragraph" w:styleId="MessageHeader">
    <w:name w:val="Message Header"/>
    <w:basedOn w:val="TextBody"/>
    <w:qFormat/>
    <w:rsid w:val="00fa6cab"/>
    <w:pPr>
      <w:keepLines/>
      <w:tabs>
        <w:tab w:val="left" w:pos="1560" w:leader="none"/>
      </w:tabs>
      <w:overflowPunct w:val="true"/>
      <w:spacing w:lineRule="atLeast" w:line="415" w:before="0" w:after="0"/>
      <w:ind w:left="1560" w:right="-360" w:hanging="720"/>
      <w:textAlignment w:val="auto"/>
    </w:pPr>
    <w:rPr>
      <w:szCs w:val="24"/>
      <w:lang w:val="es-ES"/>
    </w:rPr>
  </w:style>
  <w:style w:type="paragraph" w:styleId="Encabezadodemensajeprimero" w:customStyle="1">
    <w:name w:val="Encabezado de mensaje - primero"/>
    <w:basedOn w:val="MessageHeader"/>
    <w:qFormat/>
    <w:rsid w:val="00fa6cab"/>
    <w:pPr/>
    <w:rPr/>
  </w:style>
  <w:style w:type="paragraph" w:styleId="HTMLPreformatted">
    <w:name w:val="HTML Preformatted"/>
    <w:basedOn w:val="Normal"/>
    <w:qFormat/>
    <w:rsid w:val="000825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lang w:val="es-ES"/>
    </w:rPr>
  </w:style>
  <w:style w:type="paragraph" w:styleId="Encabezadodemensajeltimo" w:customStyle="1">
    <w:name w:val="Encabezado de mensaje - último"/>
    <w:basedOn w:val="MessageHeader"/>
    <w:qFormat/>
    <w:rsid w:val="0055073e"/>
    <w:pPr>
      <w:pBdr>
        <w:bottom w:val="single" w:sz="6" w:space="22" w:color="00000A"/>
      </w:pBdr>
      <w:spacing w:before="0" w:after="400"/>
    </w:pPr>
    <w:rPr/>
  </w:style>
  <w:style w:type="paragraph" w:styleId="NormalWeb">
    <w:name w:val="Normal (Web)"/>
    <w:basedOn w:val="Normal"/>
    <w:semiHidden/>
    <w:qFormat/>
    <w:rsid w:val="002a1085"/>
    <w:pPr>
      <w:overflowPunct w:val="true"/>
      <w:spacing w:beforeAutospacing="1" w:afterAutospacing="1"/>
      <w:textAlignment w:val="auto"/>
    </w:pPr>
    <w:rPr>
      <w:sz w:val="24"/>
      <w:szCs w:val="24"/>
      <w:lang w:val="es-ES"/>
    </w:rPr>
  </w:style>
  <w:style w:type="paragraph" w:styleId="ListParagraph">
    <w:name w:val="List Paragraph"/>
    <w:basedOn w:val="Normal"/>
    <w:uiPriority w:val="34"/>
    <w:qFormat/>
    <w:rsid w:val="00495143"/>
    <w:pPr>
      <w:overflowPunct w:val="true"/>
      <w:spacing w:lineRule="auto" w:line="276" w:before="0" w:after="200"/>
      <w:ind w:left="708" w:hanging="0"/>
      <w:textAlignment w:val="auto"/>
    </w:pPr>
    <w:rPr>
      <w:rFonts w:ascii="Calibri" w:hAnsi="Calibri" w:eastAsia="Calibri"/>
      <w:sz w:val="22"/>
      <w:szCs w:val="22"/>
      <w:lang w:val="es-CO" w:eastAsia="en-US"/>
    </w:rPr>
  </w:style>
  <w:style w:type="paragraph" w:styleId="NoSpacing">
    <w:name w:val="No Spacing"/>
    <w:uiPriority w:val="1"/>
    <w:qFormat/>
    <w:rsid w:val="00495143"/>
    <w:pPr>
      <w:widowControl/>
      <w:bidi w:val="0"/>
      <w:jc w:val="left"/>
    </w:pPr>
    <w:rPr>
      <w:rFonts w:ascii="Calibri" w:hAnsi="Calibri" w:eastAsia="Calibri" w:cs="Times New Roman"/>
      <w:color w:val="auto"/>
      <w:sz w:val="22"/>
      <w:szCs w:val="22"/>
      <w:lang w:eastAsia="en-US" w:val="es-CO"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039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ntrodeconsejeria.uniandes.edu.co/" TargetMode="External"/><Relationship Id="rId3" Type="http://schemas.openxmlformats.org/officeDocument/2006/relationships/hyperlink" Target="https://www.facebook.com/noesnormaluniandes/?fref=ts" TargetMode="External"/><Relationship Id="rId4" Type="http://schemas.openxmlformats.org/officeDocument/2006/relationships/hyperlink" Target="https://www.facebook.com/PACA-1475960596003814/?fref=t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matematicas.uniandes.edu.co/"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LibreOffice/5.3.6.1$Linux_X86_64 LibreOffice_project/30$Build-1</Application>
  <Pages>12</Pages>
  <Words>3496</Words>
  <Characters>18546</Characters>
  <CharactersWithSpaces>21771</CharactersWithSpaces>
  <Paragraphs>245</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2019-07-23T16:56:00Z</dcterms:created>
  <dc:creator>Andrés Hernán García Pérez</dc:creator>
  <dc:description/>
  <dc:language>en-GB</dc:language>
  <cp:lastModifiedBy/>
  <cp:lastPrinted>2008-11-28T16:40:00Z</cp:lastPrinted>
  <dcterms:modified xsi:type="dcterms:W3CDTF">2020-01-17T16:16:23Z</dcterms:modified>
  <cp:revision>12</cp:revision>
  <dc:subject/>
  <dc:title>Santa Fe de Bogotá 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